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8A1D8" w14:textId="77777777" w:rsidR="000E2E95" w:rsidRPr="005669CE" w:rsidRDefault="00DB0A1C" w:rsidP="00E711A7">
      <w:pPr>
        <w:pStyle w:val="Title"/>
        <w:spacing w:line="204" w:lineRule="auto"/>
        <w:rPr>
          <w:sz w:val="96"/>
          <w:szCs w:val="96"/>
        </w:rPr>
      </w:pPr>
      <w:r w:rsidRPr="005669CE">
        <w:rPr>
          <w:color w:val="44536A"/>
          <w:spacing w:val="-2"/>
          <w:sz w:val="96"/>
          <w:szCs w:val="96"/>
          <w:lang w:val="fr-FR"/>
        </w:rPr>
        <w:t>ÉVALUATIONS PRATIQUES ET DE PRÉCISION DE LA SCHISTOSOMIASE</w:t>
      </w:r>
    </w:p>
    <w:p w14:paraId="07359CF6" w14:textId="77777777" w:rsidR="000E2E95" w:rsidRPr="005669CE" w:rsidRDefault="00DB0A1C" w:rsidP="006E0C9E">
      <w:pPr>
        <w:spacing w:before="451"/>
        <w:ind w:right="157"/>
        <w:jc w:val="center"/>
        <w:rPr>
          <w:rFonts w:ascii="Calibri Light"/>
          <w:sz w:val="60"/>
        </w:rPr>
      </w:pPr>
      <w:r w:rsidRPr="005669CE">
        <w:rPr>
          <w:rFonts w:ascii="Calibri Light"/>
          <w:color w:val="4471C4"/>
          <w:sz w:val="60"/>
          <w:lang w:val="fr-FR"/>
        </w:rPr>
        <w:t>Manuel pour la r</w:t>
      </w:r>
      <w:r w:rsidRPr="00EB082C">
        <w:rPr>
          <w:rFonts w:ascii="Calibri Light" w:hAnsi="Calibri Light" w:cs="Calibri Light"/>
          <w:color w:val="4471C4"/>
          <w:sz w:val="60"/>
          <w:lang w:val="fr-FR"/>
        </w:rPr>
        <w:t>é</w:t>
      </w:r>
      <w:r w:rsidRPr="005669CE">
        <w:rPr>
          <w:rFonts w:ascii="Calibri Light"/>
          <w:color w:val="4471C4"/>
          <w:sz w:val="60"/>
          <w:lang w:val="fr-FR"/>
        </w:rPr>
        <w:t xml:space="preserve">alisation des </w:t>
      </w:r>
      <w:r w:rsidRPr="00EB082C">
        <w:rPr>
          <w:rFonts w:ascii="Calibri Light" w:hAnsi="Calibri Light" w:cs="Calibri Light"/>
          <w:color w:val="4471C4"/>
          <w:sz w:val="60"/>
          <w:lang w:val="fr-FR"/>
        </w:rPr>
        <w:t>é</w:t>
      </w:r>
      <w:r w:rsidRPr="005669CE">
        <w:rPr>
          <w:rFonts w:ascii="Calibri Light"/>
          <w:color w:val="4471C4"/>
          <w:sz w:val="60"/>
          <w:lang w:val="fr-FR"/>
        </w:rPr>
        <w:t>valuations d</w:t>
      </w:r>
      <w:r w:rsidRPr="00EB082C">
        <w:rPr>
          <w:rFonts w:ascii="Calibri Light" w:hAnsi="Calibri Light" w:cs="Calibri Light"/>
          <w:color w:val="4471C4"/>
          <w:sz w:val="60"/>
          <w:lang w:val="fr-FR"/>
        </w:rPr>
        <w:t>’</w:t>
      </w:r>
      <w:r w:rsidRPr="005669CE">
        <w:rPr>
          <w:rFonts w:ascii="Calibri Light"/>
          <w:color w:val="4471C4"/>
          <w:sz w:val="60"/>
          <w:lang w:val="fr-FR"/>
        </w:rPr>
        <w:t>impact</w:t>
      </w:r>
    </w:p>
    <w:p w14:paraId="2ED33367" w14:textId="1C0C410F" w:rsidR="000E2E95" w:rsidRPr="005669CE" w:rsidRDefault="00DB0A1C" w:rsidP="6EDEF3A1">
      <w:pPr>
        <w:spacing w:before="690"/>
        <w:ind w:left="1" w:right="157"/>
        <w:jc w:val="center"/>
        <w:rPr>
          <w:sz w:val="40"/>
          <w:szCs w:val="40"/>
        </w:rPr>
      </w:pPr>
      <w:r w:rsidRPr="6EDEF3A1">
        <w:rPr>
          <w:sz w:val="40"/>
          <w:szCs w:val="40"/>
          <w:lang w:val="fr-FR"/>
        </w:rPr>
        <w:t>Version </w:t>
      </w:r>
      <w:r w:rsidR="4FDCBDD3" w:rsidRPr="6EDEF3A1">
        <w:rPr>
          <w:sz w:val="40"/>
          <w:szCs w:val="40"/>
          <w:lang w:val="fr-FR"/>
        </w:rPr>
        <w:t>3</w:t>
      </w:r>
    </w:p>
    <w:p w14:paraId="7767CC6F" w14:textId="77777777" w:rsidR="000E2E95" w:rsidRPr="005669CE" w:rsidRDefault="000E2E95" w:rsidP="006E0C9E">
      <w:pPr>
        <w:jc w:val="center"/>
        <w:rPr>
          <w:sz w:val="40"/>
        </w:rPr>
      </w:pPr>
    </w:p>
    <w:p w14:paraId="641AAC3E" w14:textId="77777777" w:rsidR="008F41BC" w:rsidRPr="005669CE" w:rsidRDefault="00DB0A1C" w:rsidP="00CE74C2">
      <w:pPr>
        <w:jc w:val="both"/>
        <w:rPr>
          <w:b/>
          <w:sz w:val="24"/>
        </w:rPr>
      </w:pPr>
      <w:r w:rsidRPr="005669CE">
        <w:rPr>
          <w:b/>
          <w:bCs/>
          <w:sz w:val="24"/>
          <w:lang w:val="fr-FR"/>
        </w:rPr>
        <w:br w:type="page"/>
      </w:r>
    </w:p>
    <w:p w14:paraId="6E4EB258" w14:textId="77777777" w:rsidR="00C0448E" w:rsidRPr="005669CE" w:rsidRDefault="00DB0A1C" w:rsidP="00CE74C2">
      <w:pPr>
        <w:spacing w:line="288" w:lineRule="auto"/>
        <w:jc w:val="both"/>
        <w:rPr>
          <w:rFonts w:asciiTheme="minorHAnsi" w:hAnsiTheme="minorHAnsi" w:cstheme="minorHAnsi"/>
        </w:rPr>
      </w:pPr>
      <w:r w:rsidRPr="005669CE">
        <w:rPr>
          <w:rFonts w:cstheme="minorHAnsi"/>
          <w:b/>
          <w:bCs/>
          <w:lang w:val="fr-FR"/>
        </w:rPr>
        <w:lastRenderedPageBreak/>
        <w:t xml:space="preserve">Remerciements : </w:t>
      </w:r>
      <w:r w:rsidRPr="005669CE">
        <w:rPr>
          <w:rFonts w:cstheme="minorHAnsi"/>
          <w:lang w:val="fr-FR"/>
        </w:rPr>
        <w:t xml:space="preserve"> Ce manuel est le résultat d’un investissement pluriannuel collaboratif qui a bénéficié de l’apport et des conseils de nombreuses parties prenantes tout au long du processus.  Nous souhaitons tout d’abord remercier Amadou </w:t>
      </w:r>
      <w:proofErr w:type="spellStart"/>
      <w:r w:rsidRPr="005669CE">
        <w:rPr>
          <w:rFonts w:cstheme="minorHAnsi"/>
          <w:lang w:val="fr-FR"/>
        </w:rPr>
        <w:t>Garba</w:t>
      </w:r>
      <w:proofErr w:type="spellEnd"/>
      <w:r w:rsidRPr="005669CE">
        <w:rPr>
          <w:rFonts w:cstheme="minorHAnsi"/>
          <w:lang w:val="fr-FR"/>
        </w:rPr>
        <w:t xml:space="preserve"> (OMS) et Pauline </w:t>
      </w:r>
      <w:proofErr w:type="spellStart"/>
      <w:r w:rsidRPr="005669CE">
        <w:rPr>
          <w:rFonts w:cstheme="minorHAnsi"/>
          <w:lang w:val="fr-FR"/>
        </w:rPr>
        <w:t>Mwinzi</w:t>
      </w:r>
      <w:proofErr w:type="spellEnd"/>
      <w:r w:rsidRPr="005669CE">
        <w:rPr>
          <w:rFonts w:cstheme="minorHAnsi"/>
          <w:lang w:val="fr-FR"/>
        </w:rPr>
        <w:t xml:space="preserve"> (ESPEN) pour leur vision, leur leadership et leur reconnaissance de la nécessité d’une approche des évaluations d’impact pour la schistosomiase. Ce manuel s’appuie sur les résultats de l’étude de suréchantillonnage de la schistosomiase (SOS), qui a bénéficié du leadership et de la supervision technique de Rachel </w:t>
      </w:r>
      <w:proofErr w:type="spellStart"/>
      <w:r w:rsidRPr="005669CE">
        <w:rPr>
          <w:rFonts w:cstheme="minorHAnsi"/>
          <w:lang w:val="fr-FR"/>
        </w:rPr>
        <w:t>Pullan</w:t>
      </w:r>
      <w:proofErr w:type="spellEnd"/>
      <w:r w:rsidRPr="005669CE">
        <w:rPr>
          <w:rFonts w:cstheme="minorHAnsi"/>
          <w:lang w:val="fr-FR"/>
        </w:rPr>
        <w:t xml:space="preserve"> (London </w:t>
      </w:r>
      <w:proofErr w:type="spellStart"/>
      <w:r w:rsidRPr="005669CE">
        <w:rPr>
          <w:rFonts w:cstheme="minorHAnsi"/>
          <w:lang w:val="fr-FR"/>
        </w:rPr>
        <w:t>School</w:t>
      </w:r>
      <w:proofErr w:type="spellEnd"/>
      <w:r w:rsidRPr="005669CE">
        <w:rPr>
          <w:rFonts w:cstheme="minorHAnsi"/>
          <w:lang w:val="fr-FR"/>
        </w:rPr>
        <w:t xml:space="preserve"> of Tropical </w:t>
      </w:r>
      <w:proofErr w:type="spellStart"/>
      <w:r w:rsidRPr="005669CE">
        <w:rPr>
          <w:rFonts w:cstheme="minorHAnsi"/>
          <w:lang w:val="fr-FR"/>
        </w:rPr>
        <w:t>Medicine</w:t>
      </w:r>
      <w:proofErr w:type="spellEnd"/>
      <w:r w:rsidRPr="005669CE">
        <w:rPr>
          <w:rFonts w:cstheme="minorHAnsi"/>
          <w:lang w:val="fr-FR"/>
        </w:rPr>
        <w:t xml:space="preserve"> and </w:t>
      </w:r>
      <w:proofErr w:type="spellStart"/>
      <w:r w:rsidRPr="005669CE">
        <w:rPr>
          <w:rFonts w:cstheme="minorHAnsi"/>
          <w:lang w:val="fr-FR"/>
        </w:rPr>
        <w:t>Hygiene</w:t>
      </w:r>
      <w:proofErr w:type="spellEnd"/>
      <w:r w:rsidRPr="005669CE">
        <w:rPr>
          <w:rFonts w:cstheme="minorHAnsi"/>
          <w:lang w:val="fr-FR"/>
        </w:rPr>
        <w:t>), Fiona Fleming (</w:t>
      </w:r>
      <w:proofErr w:type="spellStart"/>
      <w:r w:rsidRPr="005669CE">
        <w:rPr>
          <w:rFonts w:cstheme="minorHAnsi"/>
          <w:lang w:val="fr-FR"/>
        </w:rPr>
        <w:t>Unlimit</w:t>
      </w:r>
      <w:proofErr w:type="spellEnd"/>
      <w:r w:rsidRPr="005669CE">
        <w:rPr>
          <w:rFonts w:cstheme="minorHAnsi"/>
          <w:lang w:val="fr-FR"/>
        </w:rPr>
        <w:t xml:space="preserve"> </w:t>
      </w:r>
      <w:proofErr w:type="spellStart"/>
      <w:r w:rsidRPr="005669CE">
        <w:rPr>
          <w:rFonts w:cstheme="minorHAnsi"/>
          <w:lang w:val="fr-FR"/>
        </w:rPr>
        <w:t>Health</w:t>
      </w:r>
      <w:proofErr w:type="spellEnd"/>
      <w:r w:rsidRPr="005669CE">
        <w:rPr>
          <w:rFonts w:cstheme="minorHAnsi"/>
          <w:lang w:val="fr-FR"/>
        </w:rPr>
        <w:t xml:space="preserve">), Penelope </w:t>
      </w:r>
      <w:proofErr w:type="spellStart"/>
      <w:r w:rsidRPr="005669CE">
        <w:rPr>
          <w:rFonts w:cstheme="minorHAnsi"/>
          <w:lang w:val="fr-FR"/>
        </w:rPr>
        <w:t>Vounatsou</w:t>
      </w:r>
      <w:proofErr w:type="spellEnd"/>
      <w:r w:rsidRPr="005669CE">
        <w:rPr>
          <w:rFonts w:cstheme="minorHAnsi"/>
          <w:lang w:val="fr-FR"/>
        </w:rPr>
        <w:t xml:space="preserve"> (Institut tropical et de santé publique suisse), Stella </w:t>
      </w:r>
      <w:proofErr w:type="spellStart"/>
      <w:r w:rsidRPr="005669CE">
        <w:rPr>
          <w:rFonts w:cstheme="minorHAnsi"/>
          <w:lang w:val="fr-FR"/>
        </w:rPr>
        <w:t>Kepha</w:t>
      </w:r>
      <w:proofErr w:type="spellEnd"/>
      <w:r w:rsidRPr="005669CE">
        <w:rPr>
          <w:rFonts w:cstheme="minorHAnsi"/>
          <w:lang w:val="fr-FR"/>
        </w:rPr>
        <w:t xml:space="preserve"> (Kenya </w:t>
      </w:r>
      <w:proofErr w:type="spellStart"/>
      <w:r w:rsidRPr="005669CE">
        <w:rPr>
          <w:rFonts w:cstheme="minorHAnsi"/>
          <w:lang w:val="fr-FR"/>
        </w:rPr>
        <w:t>Medical</w:t>
      </w:r>
      <w:proofErr w:type="spellEnd"/>
      <w:r w:rsidRPr="005669CE">
        <w:rPr>
          <w:rFonts w:cstheme="minorHAnsi"/>
          <w:lang w:val="fr-FR"/>
        </w:rPr>
        <w:t xml:space="preserve"> </w:t>
      </w:r>
      <w:proofErr w:type="spellStart"/>
      <w:r w:rsidRPr="005669CE">
        <w:rPr>
          <w:rFonts w:cstheme="minorHAnsi"/>
          <w:lang w:val="fr-FR"/>
        </w:rPr>
        <w:t>Research</w:t>
      </w:r>
      <w:proofErr w:type="spellEnd"/>
      <w:r w:rsidRPr="005669CE">
        <w:rPr>
          <w:rFonts w:cstheme="minorHAnsi"/>
          <w:lang w:val="fr-FR"/>
        </w:rPr>
        <w:t xml:space="preserve"> Institute) et Katie Gass (</w:t>
      </w:r>
      <w:proofErr w:type="spellStart"/>
      <w:r w:rsidRPr="005669CE">
        <w:rPr>
          <w:rFonts w:cstheme="minorHAnsi"/>
          <w:lang w:val="fr-FR"/>
        </w:rPr>
        <w:t>Task</w:t>
      </w:r>
      <w:proofErr w:type="spellEnd"/>
      <w:r w:rsidRPr="005669CE">
        <w:rPr>
          <w:rFonts w:cstheme="minorHAnsi"/>
          <w:lang w:val="fr-FR"/>
        </w:rPr>
        <w:t xml:space="preserve"> Force for Global </w:t>
      </w:r>
      <w:proofErr w:type="spellStart"/>
      <w:r w:rsidRPr="005669CE">
        <w:rPr>
          <w:rFonts w:cstheme="minorHAnsi"/>
          <w:lang w:val="fr-FR"/>
        </w:rPr>
        <w:t>Health</w:t>
      </w:r>
      <w:proofErr w:type="spellEnd"/>
      <w:r w:rsidRPr="005669CE">
        <w:rPr>
          <w:rFonts w:cstheme="minorHAnsi"/>
          <w:lang w:val="fr-FR"/>
        </w:rPr>
        <w:t xml:space="preserve">).  L’étude SOS a été menée au niveau national par les chercheurs principaux suivants : Kofi </w:t>
      </w:r>
      <w:proofErr w:type="spellStart"/>
      <w:r w:rsidRPr="005669CE">
        <w:rPr>
          <w:rFonts w:cstheme="minorHAnsi"/>
          <w:lang w:val="fr-FR"/>
        </w:rPr>
        <w:t>Asemanya</w:t>
      </w:r>
      <w:proofErr w:type="spellEnd"/>
      <w:r w:rsidRPr="005669CE">
        <w:rPr>
          <w:rFonts w:cstheme="minorHAnsi"/>
          <w:lang w:val="fr-FR"/>
        </w:rPr>
        <w:t xml:space="preserve">-Mensah (Services de santé du Ghana), Joseph </w:t>
      </w:r>
      <w:proofErr w:type="spellStart"/>
      <w:r w:rsidRPr="005669CE">
        <w:rPr>
          <w:rFonts w:cstheme="minorHAnsi"/>
          <w:lang w:val="fr-FR"/>
        </w:rPr>
        <w:t>Opare</w:t>
      </w:r>
      <w:proofErr w:type="spellEnd"/>
      <w:r w:rsidRPr="005669CE">
        <w:rPr>
          <w:rFonts w:cstheme="minorHAnsi"/>
          <w:lang w:val="fr-FR"/>
        </w:rPr>
        <w:t xml:space="preserve"> (Services de santé du Ghana), Mahamadou Traore (ministère de la Santé et des Affaires sociales du Mali), Moussa Sacko (Institut national de santé publique du Mali), </w:t>
      </w:r>
      <w:proofErr w:type="spellStart"/>
      <w:r w:rsidRPr="005669CE">
        <w:rPr>
          <w:rFonts w:cstheme="minorHAnsi"/>
          <w:lang w:val="fr-FR"/>
        </w:rPr>
        <w:t>Aboulaye</w:t>
      </w:r>
      <w:proofErr w:type="spellEnd"/>
      <w:r w:rsidRPr="005669CE">
        <w:rPr>
          <w:rFonts w:cstheme="minorHAnsi"/>
          <w:lang w:val="fr-FR"/>
        </w:rPr>
        <w:t xml:space="preserve"> </w:t>
      </w:r>
      <w:proofErr w:type="spellStart"/>
      <w:r w:rsidRPr="005669CE">
        <w:rPr>
          <w:rFonts w:cstheme="minorHAnsi"/>
          <w:lang w:val="fr-FR"/>
        </w:rPr>
        <w:t>Meite</w:t>
      </w:r>
      <w:proofErr w:type="spellEnd"/>
      <w:r w:rsidRPr="005669CE">
        <w:rPr>
          <w:rFonts w:cstheme="minorHAnsi"/>
          <w:lang w:val="fr-FR"/>
        </w:rPr>
        <w:t xml:space="preserve"> (Programme national de lutte contre les MTN de Côte d’Ivoire), </w:t>
      </w:r>
      <w:proofErr w:type="spellStart"/>
      <w:r w:rsidRPr="005669CE">
        <w:rPr>
          <w:rFonts w:cstheme="minorHAnsi"/>
          <w:lang w:val="fr-FR"/>
        </w:rPr>
        <w:t>Eliézer</w:t>
      </w:r>
      <w:proofErr w:type="spellEnd"/>
      <w:r w:rsidRPr="005669CE">
        <w:rPr>
          <w:rFonts w:cstheme="minorHAnsi"/>
          <w:lang w:val="fr-FR"/>
        </w:rPr>
        <w:t xml:space="preserve"> N’Goran (Université Félix Houphouët-Boigny</w:t>
      </w:r>
      <w:r w:rsidR="00DF4B5C" w:rsidRPr="005669CE">
        <w:rPr>
          <w:rFonts w:asciiTheme="minorHAnsi" w:hAnsiTheme="minorHAnsi" w:cstheme="minorHAnsi"/>
          <w:color w:val="000000"/>
          <w:shd w:val="clear" w:color="auto" w:fill="FFFFFF"/>
          <w:lang w:val="fr-FR"/>
        </w:rPr>
        <w:t>) et</w:t>
      </w:r>
      <w:r w:rsidRPr="005669CE">
        <w:rPr>
          <w:rFonts w:cstheme="minorHAnsi"/>
          <w:lang w:val="fr-FR"/>
        </w:rPr>
        <w:t xml:space="preserve"> Monique </w:t>
      </w:r>
      <w:proofErr w:type="spellStart"/>
      <w:r w:rsidRPr="005669CE">
        <w:rPr>
          <w:rFonts w:cstheme="minorHAnsi"/>
          <w:lang w:val="fr-FR"/>
        </w:rPr>
        <w:t>Dorkenoo</w:t>
      </w:r>
      <w:proofErr w:type="spellEnd"/>
      <w:r w:rsidRPr="005669CE">
        <w:rPr>
          <w:rFonts w:cstheme="minorHAnsi"/>
          <w:lang w:val="fr-FR"/>
        </w:rPr>
        <w:t xml:space="preserve"> (Université de Genève).  Nous tenons à remercier tout particulièrement les membres de chacune de ces équipes nationales pour les longues heures qu’elles ont consacrées à la production de données de haute qualité, ainsi que les enfants et les membres de la communauté qui ont gracieusement accepté de fournir des échantillons pour ce travail.  Nous remercions tout particulièrement les membres du groupe consultatif technique de l’étude SOS (Amadou </w:t>
      </w:r>
      <w:proofErr w:type="spellStart"/>
      <w:r w:rsidRPr="005669CE">
        <w:rPr>
          <w:rFonts w:cstheme="minorHAnsi"/>
          <w:lang w:val="fr-FR"/>
        </w:rPr>
        <w:t>Garba</w:t>
      </w:r>
      <w:proofErr w:type="spellEnd"/>
      <w:r w:rsidRPr="005669CE">
        <w:rPr>
          <w:rFonts w:cstheme="minorHAnsi"/>
          <w:lang w:val="fr-FR"/>
        </w:rPr>
        <w:t xml:space="preserve">, Pauline </w:t>
      </w:r>
      <w:proofErr w:type="spellStart"/>
      <w:r w:rsidRPr="005669CE">
        <w:rPr>
          <w:rFonts w:cstheme="minorHAnsi"/>
          <w:lang w:val="fr-FR"/>
        </w:rPr>
        <w:t>Mwinzi</w:t>
      </w:r>
      <w:proofErr w:type="spellEnd"/>
      <w:r w:rsidRPr="005669CE">
        <w:rPr>
          <w:rFonts w:cstheme="minorHAnsi"/>
          <w:lang w:val="fr-FR"/>
        </w:rPr>
        <w:t xml:space="preserve">, </w:t>
      </w:r>
      <w:proofErr w:type="spellStart"/>
      <w:r w:rsidRPr="005669CE">
        <w:rPr>
          <w:rFonts w:cstheme="minorHAnsi"/>
          <w:lang w:val="fr-FR"/>
        </w:rPr>
        <w:t>Upendo</w:t>
      </w:r>
      <w:proofErr w:type="spellEnd"/>
      <w:r w:rsidRPr="005669CE">
        <w:rPr>
          <w:rFonts w:cstheme="minorHAnsi"/>
          <w:lang w:val="fr-FR"/>
        </w:rPr>
        <w:t xml:space="preserve"> </w:t>
      </w:r>
      <w:proofErr w:type="spellStart"/>
      <w:r w:rsidRPr="005669CE">
        <w:rPr>
          <w:rFonts w:cstheme="minorHAnsi"/>
          <w:lang w:val="fr-FR"/>
        </w:rPr>
        <w:t>Mwingira</w:t>
      </w:r>
      <w:proofErr w:type="spellEnd"/>
      <w:r w:rsidRPr="005669CE">
        <w:rPr>
          <w:rFonts w:cstheme="minorHAnsi"/>
          <w:lang w:val="fr-FR"/>
        </w:rPr>
        <w:t xml:space="preserve">, </w:t>
      </w:r>
      <w:proofErr w:type="spellStart"/>
      <w:r w:rsidRPr="005669CE">
        <w:rPr>
          <w:rFonts w:cstheme="minorHAnsi"/>
          <w:lang w:val="fr-FR"/>
        </w:rPr>
        <w:t>Evan</w:t>
      </w:r>
      <w:proofErr w:type="spellEnd"/>
      <w:r w:rsidRPr="005669CE">
        <w:rPr>
          <w:rFonts w:cstheme="minorHAnsi"/>
          <w:lang w:val="fr-FR"/>
        </w:rPr>
        <w:t xml:space="preserve"> </w:t>
      </w:r>
      <w:proofErr w:type="spellStart"/>
      <w:r w:rsidRPr="005669CE">
        <w:rPr>
          <w:rFonts w:cstheme="minorHAnsi"/>
          <w:lang w:val="fr-FR"/>
        </w:rPr>
        <w:t>Secor</w:t>
      </w:r>
      <w:proofErr w:type="spellEnd"/>
      <w:r w:rsidRPr="005669CE">
        <w:rPr>
          <w:rFonts w:cstheme="minorHAnsi"/>
          <w:lang w:val="fr-FR"/>
        </w:rPr>
        <w:t xml:space="preserve">, Peter </w:t>
      </w:r>
      <w:proofErr w:type="spellStart"/>
      <w:r w:rsidRPr="005669CE">
        <w:rPr>
          <w:rFonts w:cstheme="minorHAnsi"/>
          <w:lang w:val="fr-FR"/>
        </w:rPr>
        <w:t>Diggle</w:t>
      </w:r>
      <w:proofErr w:type="spellEnd"/>
      <w:r w:rsidRPr="005669CE">
        <w:rPr>
          <w:rFonts w:cstheme="minorHAnsi"/>
          <w:lang w:val="fr-FR"/>
        </w:rPr>
        <w:t xml:space="preserve">, Charlie King, David </w:t>
      </w:r>
      <w:proofErr w:type="spellStart"/>
      <w:r w:rsidRPr="005669CE">
        <w:rPr>
          <w:rFonts w:cstheme="minorHAnsi"/>
          <w:lang w:val="fr-FR"/>
        </w:rPr>
        <w:t>Rollinson</w:t>
      </w:r>
      <w:proofErr w:type="spellEnd"/>
      <w:r w:rsidRPr="005669CE">
        <w:rPr>
          <w:rFonts w:cstheme="minorHAnsi"/>
          <w:lang w:val="fr-FR"/>
        </w:rPr>
        <w:t xml:space="preserve">, </w:t>
      </w:r>
      <w:proofErr w:type="spellStart"/>
      <w:r w:rsidRPr="005669CE">
        <w:rPr>
          <w:rFonts w:cstheme="minorHAnsi"/>
          <w:lang w:val="fr-FR"/>
        </w:rPr>
        <w:t>Nebe</w:t>
      </w:r>
      <w:proofErr w:type="spellEnd"/>
      <w:r w:rsidRPr="005669CE">
        <w:rPr>
          <w:rFonts w:cstheme="minorHAnsi"/>
          <w:lang w:val="fr-FR"/>
        </w:rPr>
        <w:t xml:space="preserve"> </w:t>
      </w:r>
      <w:proofErr w:type="spellStart"/>
      <w:r w:rsidRPr="005669CE">
        <w:rPr>
          <w:rFonts w:cstheme="minorHAnsi"/>
          <w:lang w:val="fr-FR"/>
        </w:rPr>
        <w:t>Obliageli</w:t>
      </w:r>
      <w:proofErr w:type="spellEnd"/>
      <w:r w:rsidRPr="005669CE">
        <w:rPr>
          <w:rFonts w:cstheme="minorHAnsi"/>
          <w:lang w:val="fr-FR"/>
        </w:rPr>
        <w:t xml:space="preserve">, </w:t>
      </w:r>
      <w:proofErr w:type="spellStart"/>
      <w:r w:rsidRPr="005669CE">
        <w:rPr>
          <w:rFonts w:cstheme="minorHAnsi"/>
          <w:lang w:val="fr-FR"/>
        </w:rPr>
        <w:t>Darin</w:t>
      </w:r>
      <w:proofErr w:type="spellEnd"/>
      <w:r w:rsidRPr="005669CE">
        <w:rPr>
          <w:rFonts w:cstheme="minorHAnsi"/>
          <w:lang w:val="fr-FR"/>
        </w:rPr>
        <w:t xml:space="preserve"> Evans et Christy Hanson) pour l’enthousiasme avec lequel ils ont examiné et renforcé ce travail. Les détails de la méthodologie décrite dans ce manuel ont été déterminés par les experts de la schistosomiase lors d’une réunion en 2023 à Nairobi, au Kenya. Les participants et les détails peuvent être consultés en ligne</w:t>
      </w:r>
      <w:r>
        <w:rPr>
          <w:rStyle w:val="FootnoteReference"/>
          <w:rFonts w:asciiTheme="minorHAnsi" w:hAnsiTheme="minorHAnsi" w:cstheme="minorHAnsi"/>
        </w:rPr>
        <w:footnoteReference w:id="1"/>
      </w:r>
      <w:r w:rsidRPr="005669CE">
        <w:rPr>
          <w:rFonts w:cstheme="minorHAnsi"/>
          <w:lang w:val="fr-FR"/>
        </w:rPr>
        <w:t xml:space="preserve">. Enfin, nous tenons à remercier la Fondation Bill et Melinda Gates et l’Agence des États-Unis pour le développement international pour leur généreux soutien financier à ce travail par l’intermédiaire de la Coalition pour la recherche opérationnelle sur les MTN (COR-NTD). </w:t>
      </w:r>
    </w:p>
    <w:p w14:paraId="5C1CC26B" w14:textId="77777777" w:rsidR="009A7ED9" w:rsidRPr="005669CE" w:rsidRDefault="009A7ED9" w:rsidP="00CE74C2">
      <w:pPr>
        <w:spacing w:line="288" w:lineRule="auto"/>
        <w:jc w:val="both"/>
        <w:rPr>
          <w:rFonts w:asciiTheme="minorHAnsi" w:hAnsiTheme="minorHAnsi" w:cstheme="minorHAnsi"/>
        </w:rPr>
      </w:pPr>
    </w:p>
    <w:p w14:paraId="565B64CD" w14:textId="77777777" w:rsidR="009A7ED9" w:rsidRPr="005669CE" w:rsidRDefault="009A7ED9" w:rsidP="00CE74C2">
      <w:pPr>
        <w:spacing w:line="288" w:lineRule="auto"/>
        <w:jc w:val="both"/>
        <w:rPr>
          <w:rFonts w:asciiTheme="minorHAnsi" w:hAnsiTheme="minorHAnsi" w:cstheme="minorHAnsi"/>
        </w:rPr>
      </w:pPr>
    </w:p>
    <w:p w14:paraId="0B36F5D3" w14:textId="77777777" w:rsidR="009A7ED9" w:rsidRPr="005669CE" w:rsidRDefault="009A7ED9" w:rsidP="00CE74C2">
      <w:pPr>
        <w:spacing w:line="288" w:lineRule="auto"/>
        <w:jc w:val="both"/>
        <w:rPr>
          <w:rFonts w:asciiTheme="minorHAnsi" w:hAnsiTheme="minorHAnsi" w:cstheme="minorHAnsi"/>
        </w:rPr>
      </w:pPr>
    </w:p>
    <w:p w14:paraId="568161F6" w14:textId="77777777" w:rsidR="009A7ED9" w:rsidRPr="005669CE" w:rsidRDefault="009A7ED9" w:rsidP="00CE74C2">
      <w:pPr>
        <w:spacing w:line="288" w:lineRule="auto"/>
        <w:jc w:val="both"/>
        <w:rPr>
          <w:rFonts w:asciiTheme="minorHAnsi" w:hAnsiTheme="minorHAnsi" w:cstheme="minorHAnsi"/>
        </w:rPr>
      </w:pPr>
    </w:p>
    <w:p w14:paraId="3C98110E" w14:textId="77777777" w:rsidR="00333E42" w:rsidRPr="005669CE" w:rsidRDefault="00DB0A1C" w:rsidP="00CE74C2">
      <w:pPr>
        <w:jc w:val="both"/>
        <w:rPr>
          <w:rFonts w:ascii="Calibri Light" w:eastAsia="Calibri Light" w:hAnsi="Calibri Light" w:cs="Calibri Light"/>
          <w:color w:val="1F3863"/>
          <w:sz w:val="36"/>
          <w:szCs w:val="36"/>
        </w:rPr>
      </w:pPr>
      <w:r w:rsidRPr="005669CE">
        <w:rPr>
          <w:color w:val="1F3863"/>
          <w:lang w:val="fr-FR"/>
        </w:rPr>
        <w:br w:type="page"/>
      </w:r>
    </w:p>
    <w:sdt>
      <w:sdtPr>
        <w:rPr>
          <w:rFonts w:ascii="Calibri" w:eastAsia="Calibri" w:hAnsi="Calibri" w:cs="Calibri"/>
          <w:color w:val="auto"/>
          <w:sz w:val="22"/>
          <w:szCs w:val="22"/>
        </w:rPr>
        <w:id w:val="976872443"/>
        <w:docPartObj>
          <w:docPartGallery w:val="Table of Contents"/>
          <w:docPartUnique/>
        </w:docPartObj>
      </w:sdtPr>
      <w:sdtEndPr>
        <w:rPr>
          <w:b/>
          <w:bCs/>
        </w:rPr>
      </w:sdtEndPr>
      <w:sdtContent>
        <w:p w14:paraId="30D31523" w14:textId="77777777" w:rsidR="001A5C58" w:rsidRPr="005669CE" w:rsidRDefault="00DB0A1C" w:rsidP="00CE74C2">
          <w:pPr>
            <w:pStyle w:val="TOCHeading"/>
            <w:jc w:val="both"/>
            <w:rPr>
              <w:rFonts w:ascii="Calibri Light" w:hAnsi="Calibri Light" w:cs="Calibri Light"/>
              <w:sz w:val="36"/>
              <w:szCs w:val="36"/>
            </w:rPr>
          </w:pPr>
          <w:r w:rsidRPr="005669CE">
            <w:rPr>
              <w:rFonts w:ascii="Calibri Light" w:hAnsi="Calibri Light" w:cs="Calibri Light"/>
              <w:sz w:val="36"/>
              <w:szCs w:val="36"/>
              <w:lang w:val="fr-FR"/>
            </w:rPr>
            <w:t>Table des matières</w:t>
          </w:r>
        </w:p>
        <w:p w14:paraId="481B4873" w14:textId="7B290021" w:rsidR="00F32013" w:rsidRDefault="00DB0A1C">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r w:rsidRPr="005669CE">
            <w:fldChar w:fldCharType="begin"/>
          </w:r>
          <w:r w:rsidRPr="005669CE">
            <w:instrText xml:space="preserve"> TOC \o "1-2" \h \z \u </w:instrText>
          </w:r>
          <w:r w:rsidRPr="005669CE">
            <w:fldChar w:fldCharType="separate"/>
          </w:r>
          <w:hyperlink w:anchor="_Toc181011857" w:history="1">
            <w:r w:rsidR="00F32013" w:rsidRPr="00A41A78">
              <w:rPr>
                <w:rStyle w:val="Hyperlink"/>
                <w:noProof/>
                <w:spacing w:val="-2"/>
                <w:lang w:val="fr-FR"/>
              </w:rPr>
              <w:t>Acronymes</w:t>
            </w:r>
            <w:r w:rsidR="00F32013">
              <w:rPr>
                <w:noProof/>
                <w:webHidden/>
              </w:rPr>
              <w:tab/>
            </w:r>
            <w:r w:rsidR="00F32013">
              <w:rPr>
                <w:noProof/>
                <w:webHidden/>
              </w:rPr>
              <w:fldChar w:fldCharType="begin"/>
            </w:r>
            <w:r w:rsidR="00F32013">
              <w:rPr>
                <w:noProof/>
                <w:webHidden/>
              </w:rPr>
              <w:instrText xml:space="preserve"> PAGEREF _Toc181011857 \h </w:instrText>
            </w:r>
            <w:r w:rsidR="00F32013">
              <w:rPr>
                <w:noProof/>
                <w:webHidden/>
              </w:rPr>
            </w:r>
            <w:r w:rsidR="00F32013">
              <w:rPr>
                <w:noProof/>
                <w:webHidden/>
              </w:rPr>
              <w:fldChar w:fldCharType="separate"/>
            </w:r>
            <w:r w:rsidR="00F32013">
              <w:rPr>
                <w:noProof/>
                <w:webHidden/>
              </w:rPr>
              <w:t>5</w:t>
            </w:r>
            <w:r w:rsidR="00F32013">
              <w:rPr>
                <w:noProof/>
                <w:webHidden/>
              </w:rPr>
              <w:fldChar w:fldCharType="end"/>
            </w:r>
          </w:hyperlink>
        </w:p>
        <w:p w14:paraId="59B7481B" w14:textId="73AB7181"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58" w:history="1">
            <w:r w:rsidRPr="00A41A78">
              <w:rPr>
                <w:rStyle w:val="Hyperlink"/>
                <w:noProof/>
                <w:spacing w:val="-2"/>
                <w:lang w:val="fr-FR"/>
              </w:rPr>
              <w:t>Glossaire</w:t>
            </w:r>
            <w:r>
              <w:rPr>
                <w:noProof/>
                <w:webHidden/>
              </w:rPr>
              <w:tab/>
            </w:r>
            <w:r>
              <w:rPr>
                <w:noProof/>
                <w:webHidden/>
              </w:rPr>
              <w:fldChar w:fldCharType="begin"/>
            </w:r>
            <w:r>
              <w:rPr>
                <w:noProof/>
                <w:webHidden/>
              </w:rPr>
              <w:instrText xml:space="preserve"> PAGEREF _Toc181011858 \h </w:instrText>
            </w:r>
            <w:r>
              <w:rPr>
                <w:noProof/>
                <w:webHidden/>
              </w:rPr>
            </w:r>
            <w:r>
              <w:rPr>
                <w:noProof/>
                <w:webHidden/>
              </w:rPr>
              <w:fldChar w:fldCharType="separate"/>
            </w:r>
            <w:r>
              <w:rPr>
                <w:noProof/>
                <w:webHidden/>
              </w:rPr>
              <w:t>5</w:t>
            </w:r>
            <w:r>
              <w:rPr>
                <w:noProof/>
                <w:webHidden/>
              </w:rPr>
              <w:fldChar w:fldCharType="end"/>
            </w:r>
          </w:hyperlink>
        </w:p>
        <w:p w14:paraId="675615F6" w14:textId="70916F20"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59" w:history="1">
            <w:r w:rsidRPr="00A41A78">
              <w:rPr>
                <w:rStyle w:val="Hyperlink"/>
                <w:noProof/>
                <w:spacing w:val="-2"/>
                <w:lang w:val="fr-FR"/>
              </w:rPr>
              <w:t>Contexte</w:t>
            </w:r>
            <w:r>
              <w:rPr>
                <w:noProof/>
                <w:webHidden/>
              </w:rPr>
              <w:tab/>
            </w:r>
            <w:r>
              <w:rPr>
                <w:noProof/>
                <w:webHidden/>
              </w:rPr>
              <w:fldChar w:fldCharType="begin"/>
            </w:r>
            <w:r>
              <w:rPr>
                <w:noProof/>
                <w:webHidden/>
              </w:rPr>
              <w:instrText xml:space="preserve"> PAGEREF _Toc181011859 \h </w:instrText>
            </w:r>
            <w:r>
              <w:rPr>
                <w:noProof/>
                <w:webHidden/>
              </w:rPr>
            </w:r>
            <w:r>
              <w:rPr>
                <w:noProof/>
                <w:webHidden/>
              </w:rPr>
              <w:fldChar w:fldCharType="separate"/>
            </w:r>
            <w:r>
              <w:rPr>
                <w:noProof/>
                <w:webHidden/>
              </w:rPr>
              <w:t>6</w:t>
            </w:r>
            <w:r>
              <w:rPr>
                <w:noProof/>
                <w:webHidden/>
              </w:rPr>
              <w:fldChar w:fldCharType="end"/>
            </w:r>
          </w:hyperlink>
        </w:p>
        <w:p w14:paraId="6C957C9E" w14:textId="1168DAD0"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0" w:history="1">
            <w:r w:rsidRPr="00A41A78">
              <w:rPr>
                <w:rStyle w:val="Hyperlink"/>
                <w:noProof/>
                <w:lang w:val="fr-FR"/>
              </w:rPr>
              <w:t>Justification d’une approche en deux étapes</w:t>
            </w:r>
            <w:r>
              <w:rPr>
                <w:noProof/>
                <w:webHidden/>
              </w:rPr>
              <w:tab/>
            </w:r>
            <w:r>
              <w:rPr>
                <w:noProof/>
                <w:webHidden/>
              </w:rPr>
              <w:fldChar w:fldCharType="begin"/>
            </w:r>
            <w:r>
              <w:rPr>
                <w:noProof/>
                <w:webHidden/>
              </w:rPr>
              <w:instrText xml:space="preserve"> PAGEREF _Toc181011860 \h </w:instrText>
            </w:r>
            <w:r>
              <w:rPr>
                <w:noProof/>
                <w:webHidden/>
              </w:rPr>
            </w:r>
            <w:r>
              <w:rPr>
                <w:noProof/>
                <w:webHidden/>
              </w:rPr>
              <w:fldChar w:fldCharType="separate"/>
            </w:r>
            <w:r>
              <w:rPr>
                <w:noProof/>
                <w:webHidden/>
              </w:rPr>
              <w:t>7</w:t>
            </w:r>
            <w:r>
              <w:rPr>
                <w:noProof/>
                <w:webHidden/>
              </w:rPr>
              <w:fldChar w:fldCharType="end"/>
            </w:r>
          </w:hyperlink>
        </w:p>
        <w:p w14:paraId="3DDABC13" w14:textId="6D381ED2"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1" w:history="1">
            <w:r w:rsidRPr="00A41A78">
              <w:rPr>
                <w:rStyle w:val="Hyperlink"/>
                <w:noProof/>
                <w:lang w:val="fr-FR"/>
              </w:rPr>
              <w:t>Présentation de la méthodologie SPPA</w:t>
            </w:r>
            <w:r>
              <w:rPr>
                <w:noProof/>
                <w:webHidden/>
              </w:rPr>
              <w:tab/>
            </w:r>
            <w:r>
              <w:rPr>
                <w:noProof/>
                <w:webHidden/>
              </w:rPr>
              <w:fldChar w:fldCharType="begin"/>
            </w:r>
            <w:r>
              <w:rPr>
                <w:noProof/>
                <w:webHidden/>
              </w:rPr>
              <w:instrText xml:space="preserve"> PAGEREF _Toc181011861 \h </w:instrText>
            </w:r>
            <w:r>
              <w:rPr>
                <w:noProof/>
                <w:webHidden/>
              </w:rPr>
            </w:r>
            <w:r>
              <w:rPr>
                <w:noProof/>
                <w:webHidden/>
              </w:rPr>
              <w:fldChar w:fldCharType="separate"/>
            </w:r>
            <w:r>
              <w:rPr>
                <w:noProof/>
                <w:webHidden/>
              </w:rPr>
              <w:t>7</w:t>
            </w:r>
            <w:r>
              <w:rPr>
                <w:noProof/>
                <w:webHidden/>
              </w:rPr>
              <w:fldChar w:fldCharType="end"/>
            </w:r>
          </w:hyperlink>
        </w:p>
        <w:p w14:paraId="0B6DF65A" w14:textId="6516A9F6"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2" w:history="1">
            <w:r w:rsidRPr="00A41A78">
              <w:rPr>
                <w:rStyle w:val="Hyperlink"/>
                <w:noProof/>
                <w:lang w:val="fr-FR"/>
              </w:rPr>
              <w:t>Objectif</w:t>
            </w:r>
            <w:r>
              <w:rPr>
                <w:noProof/>
                <w:webHidden/>
              </w:rPr>
              <w:tab/>
            </w:r>
            <w:r>
              <w:rPr>
                <w:noProof/>
                <w:webHidden/>
              </w:rPr>
              <w:fldChar w:fldCharType="begin"/>
            </w:r>
            <w:r>
              <w:rPr>
                <w:noProof/>
                <w:webHidden/>
              </w:rPr>
              <w:instrText xml:space="preserve"> PAGEREF _Toc181011862 \h </w:instrText>
            </w:r>
            <w:r>
              <w:rPr>
                <w:noProof/>
                <w:webHidden/>
              </w:rPr>
            </w:r>
            <w:r>
              <w:rPr>
                <w:noProof/>
                <w:webHidden/>
              </w:rPr>
              <w:fldChar w:fldCharType="separate"/>
            </w:r>
            <w:r>
              <w:rPr>
                <w:noProof/>
                <w:webHidden/>
              </w:rPr>
              <w:t>8</w:t>
            </w:r>
            <w:r>
              <w:rPr>
                <w:noProof/>
                <w:webHidden/>
              </w:rPr>
              <w:fldChar w:fldCharType="end"/>
            </w:r>
          </w:hyperlink>
        </w:p>
        <w:p w14:paraId="14909F2F" w14:textId="31028699"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3" w:history="1">
            <w:r w:rsidRPr="00A41A78">
              <w:rPr>
                <w:rStyle w:val="Hyperlink"/>
                <w:noProof/>
                <w:lang w:val="fr-FR"/>
              </w:rPr>
              <w:t>Présentation de l’approche</w:t>
            </w:r>
            <w:r>
              <w:rPr>
                <w:noProof/>
                <w:webHidden/>
              </w:rPr>
              <w:tab/>
            </w:r>
            <w:r>
              <w:rPr>
                <w:noProof/>
                <w:webHidden/>
              </w:rPr>
              <w:fldChar w:fldCharType="begin"/>
            </w:r>
            <w:r>
              <w:rPr>
                <w:noProof/>
                <w:webHidden/>
              </w:rPr>
              <w:instrText xml:space="preserve"> PAGEREF _Toc181011863 \h </w:instrText>
            </w:r>
            <w:r>
              <w:rPr>
                <w:noProof/>
                <w:webHidden/>
              </w:rPr>
            </w:r>
            <w:r>
              <w:rPr>
                <w:noProof/>
                <w:webHidden/>
              </w:rPr>
              <w:fldChar w:fldCharType="separate"/>
            </w:r>
            <w:r>
              <w:rPr>
                <w:noProof/>
                <w:webHidden/>
              </w:rPr>
              <w:t>8</w:t>
            </w:r>
            <w:r>
              <w:rPr>
                <w:noProof/>
                <w:webHidden/>
              </w:rPr>
              <w:fldChar w:fldCharType="end"/>
            </w:r>
          </w:hyperlink>
        </w:p>
        <w:p w14:paraId="0B37824E" w14:textId="62DFBD14"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4" w:history="1">
            <w:r w:rsidRPr="00A41A78">
              <w:rPr>
                <w:rStyle w:val="Hyperlink"/>
                <w:noProof/>
                <w:lang w:val="fr-FR"/>
              </w:rPr>
              <w:t>Déterminer le type d’évaluation approprié</w:t>
            </w:r>
            <w:r>
              <w:rPr>
                <w:noProof/>
                <w:webHidden/>
              </w:rPr>
              <w:tab/>
            </w:r>
            <w:r>
              <w:rPr>
                <w:noProof/>
                <w:webHidden/>
              </w:rPr>
              <w:fldChar w:fldCharType="begin"/>
            </w:r>
            <w:r>
              <w:rPr>
                <w:noProof/>
                <w:webHidden/>
              </w:rPr>
              <w:instrText xml:space="preserve"> PAGEREF _Toc181011864 \h </w:instrText>
            </w:r>
            <w:r>
              <w:rPr>
                <w:noProof/>
                <w:webHidden/>
              </w:rPr>
            </w:r>
            <w:r>
              <w:rPr>
                <w:noProof/>
                <w:webHidden/>
              </w:rPr>
              <w:fldChar w:fldCharType="separate"/>
            </w:r>
            <w:r>
              <w:rPr>
                <w:noProof/>
                <w:webHidden/>
              </w:rPr>
              <w:t>9</w:t>
            </w:r>
            <w:r>
              <w:rPr>
                <w:noProof/>
                <w:webHidden/>
              </w:rPr>
              <w:fldChar w:fldCharType="end"/>
            </w:r>
          </w:hyperlink>
        </w:p>
        <w:p w14:paraId="6B8E8E99" w14:textId="0270F226"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5" w:history="1">
            <w:r w:rsidRPr="00A41A78">
              <w:rPr>
                <w:rStyle w:val="Hyperlink"/>
                <w:noProof/>
                <w:lang w:val="fr-FR"/>
              </w:rPr>
              <w:t>Méthodologie d’évaluation : échantillonnage</w:t>
            </w:r>
            <w:r>
              <w:rPr>
                <w:noProof/>
                <w:webHidden/>
              </w:rPr>
              <w:tab/>
            </w:r>
            <w:r>
              <w:rPr>
                <w:noProof/>
                <w:webHidden/>
              </w:rPr>
              <w:fldChar w:fldCharType="begin"/>
            </w:r>
            <w:r>
              <w:rPr>
                <w:noProof/>
                <w:webHidden/>
              </w:rPr>
              <w:instrText xml:space="preserve"> PAGEREF _Toc181011865 \h </w:instrText>
            </w:r>
            <w:r>
              <w:rPr>
                <w:noProof/>
                <w:webHidden/>
              </w:rPr>
            </w:r>
            <w:r>
              <w:rPr>
                <w:noProof/>
                <w:webHidden/>
              </w:rPr>
              <w:fldChar w:fldCharType="separate"/>
            </w:r>
            <w:r>
              <w:rPr>
                <w:noProof/>
                <w:webHidden/>
              </w:rPr>
              <w:t>11</w:t>
            </w:r>
            <w:r>
              <w:rPr>
                <w:noProof/>
                <w:webHidden/>
              </w:rPr>
              <w:fldChar w:fldCharType="end"/>
            </w:r>
          </w:hyperlink>
        </w:p>
        <w:p w14:paraId="5701807D" w14:textId="174EE9AD"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6" w:history="1">
            <w:r w:rsidRPr="00A41A78">
              <w:rPr>
                <w:rStyle w:val="Hyperlink"/>
                <w:noProof/>
                <w:lang w:val="fr-FR"/>
              </w:rPr>
              <w:t>Échantillonnage pour les évaluations pratiques</w:t>
            </w:r>
            <w:r>
              <w:rPr>
                <w:noProof/>
                <w:webHidden/>
              </w:rPr>
              <w:tab/>
            </w:r>
            <w:r>
              <w:rPr>
                <w:noProof/>
                <w:webHidden/>
              </w:rPr>
              <w:fldChar w:fldCharType="begin"/>
            </w:r>
            <w:r>
              <w:rPr>
                <w:noProof/>
                <w:webHidden/>
              </w:rPr>
              <w:instrText xml:space="preserve"> PAGEREF _Toc181011866 \h </w:instrText>
            </w:r>
            <w:r>
              <w:rPr>
                <w:noProof/>
                <w:webHidden/>
              </w:rPr>
            </w:r>
            <w:r>
              <w:rPr>
                <w:noProof/>
                <w:webHidden/>
              </w:rPr>
              <w:fldChar w:fldCharType="separate"/>
            </w:r>
            <w:r>
              <w:rPr>
                <w:noProof/>
                <w:webHidden/>
              </w:rPr>
              <w:t>11</w:t>
            </w:r>
            <w:r>
              <w:rPr>
                <w:noProof/>
                <w:webHidden/>
              </w:rPr>
              <w:fldChar w:fldCharType="end"/>
            </w:r>
          </w:hyperlink>
        </w:p>
        <w:p w14:paraId="6FAB0D74" w14:textId="374C378F"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7" w:history="1">
            <w:r w:rsidRPr="00A41A78">
              <w:rPr>
                <w:rStyle w:val="Hyperlink"/>
                <w:noProof/>
                <w:lang w:val="fr-FR"/>
              </w:rPr>
              <w:t>Échantillonnage pour les évaluations de précision</w:t>
            </w:r>
            <w:r>
              <w:rPr>
                <w:noProof/>
                <w:webHidden/>
              </w:rPr>
              <w:tab/>
            </w:r>
            <w:r>
              <w:rPr>
                <w:noProof/>
                <w:webHidden/>
              </w:rPr>
              <w:fldChar w:fldCharType="begin"/>
            </w:r>
            <w:r>
              <w:rPr>
                <w:noProof/>
                <w:webHidden/>
              </w:rPr>
              <w:instrText xml:space="preserve"> PAGEREF _Toc181011867 \h </w:instrText>
            </w:r>
            <w:r>
              <w:rPr>
                <w:noProof/>
                <w:webHidden/>
              </w:rPr>
            </w:r>
            <w:r>
              <w:rPr>
                <w:noProof/>
                <w:webHidden/>
              </w:rPr>
              <w:fldChar w:fldCharType="separate"/>
            </w:r>
            <w:r>
              <w:rPr>
                <w:noProof/>
                <w:webHidden/>
              </w:rPr>
              <w:t>13</w:t>
            </w:r>
            <w:r>
              <w:rPr>
                <w:noProof/>
                <w:webHidden/>
              </w:rPr>
              <w:fldChar w:fldCharType="end"/>
            </w:r>
          </w:hyperlink>
        </w:p>
        <w:p w14:paraId="10301760" w14:textId="72AACE02"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8" w:history="1">
            <w:r w:rsidRPr="00A41A78">
              <w:rPr>
                <w:rStyle w:val="Hyperlink"/>
                <w:noProof/>
                <w:lang w:val="fr-FR"/>
              </w:rPr>
              <w:t>Méthodologie d’évaluation – Procédures d’enquête</w:t>
            </w:r>
            <w:r>
              <w:rPr>
                <w:noProof/>
                <w:webHidden/>
              </w:rPr>
              <w:tab/>
            </w:r>
            <w:r>
              <w:rPr>
                <w:noProof/>
                <w:webHidden/>
              </w:rPr>
              <w:fldChar w:fldCharType="begin"/>
            </w:r>
            <w:r>
              <w:rPr>
                <w:noProof/>
                <w:webHidden/>
              </w:rPr>
              <w:instrText xml:space="preserve"> PAGEREF _Toc181011868 \h </w:instrText>
            </w:r>
            <w:r>
              <w:rPr>
                <w:noProof/>
                <w:webHidden/>
              </w:rPr>
            </w:r>
            <w:r>
              <w:rPr>
                <w:noProof/>
                <w:webHidden/>
              </w:rPr>
              <w:fldChar w:fldCharType="separate"/>
            </w:r>
            <w:r>
              <w:rPr>
                <w:noProof/>
                <w:webHidden/>
              </w:rPr>
              <w:t>16</w:t>
            </w:r>
            <w:r>
              <w:rPr>
                <w:noProof/>
                <w:webHidden/>
              </w:rPr>
              <w:fldChar w:fldCharType="end"/>
            </w:r>
          </w:hyperlink>
        </w:p>
        <w:p w14:paraId="1FFD77A6" w14:textId="06AB0FA4"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69" w:history="1">
            <w:r w:rsidRPr="00A41A78">
              <w:rPr>
                <w:rStyle w:val="Hyperlink"/>
                <w:noProof/>
                <w:lang w:val="fr-FR"/>
              </w:rPr>
              <w:t>Prélèvement d’échantillons, tests de diagnostic et traitement</w:t>
            </w:r>
            <w:r>
              <w:rPr>
                <w:noProof/>
                <w:webHidden/>
              </w:rPr>
              <w:tab/>
            </w:r>
            <w:r>
              <w:rPr>
                <w:noProof/>
                <w:webHidden/>
              </w:rPr>
              <w:fldChar w:fldCharType="begin"/>
            </w:r>
            <w:r>
              <w:rPr>
                <w:noProof/>
                <w:webHidden/>
              </w:rPr>
              <w:instrText xml:space="preserve"> PAGEREF _Toc181011869 \h </w:instrText>
            </w:r>
            <w:r>
              <w:rPr>
                <w:noProof/>
                <w:webHidden/>
              </w:rPr>
            </w:r>
            <w:r>
              <w:rPr>
                <w:noProof/>
                <w:webHidden/>
              </w:rPr>
              <w:fldChar w:fldCharType="separate"/>
            </w:r>
            <w:r>
              <w:rPr>
                <w:noProof/>
                <w:webHidden/>
              </w:rPr>
              <w:t>17</w:t>
            </w:r>
            <w:r>
              <w:rPr>
                <w:noProof/>
                <w:webHidden/>
              </w:rPr>
              <w:fldChar w:fldCharType="end"/>
            </w:r>
          </w:hyperlink>
        </w:p>
        <w:p w14:paraId="59E3D081" w14:textId="4FAD2B26"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0" w:history="1">
            <w:r w:rsidRPr="00A41A78">
              <w:rPr>
                <w:rStyle w:val="Hyperlink"/>
                <w:noProof/>
                <w:lang w:val="fr-FR"/>
              </w:rPr>
              <w:t>Collecte électronique de données via ESPEN Collect</w:t>
            </w:r>
            <w:r>
              <w:rPr>
                <w:noProof/>
                <w:webHidden/>
              </w:rPr>
              <w:tab/>
            </w:r>
            <w:r>
              <w:rPr>
                <w:noProof/>
                <w:webHidden/>
              </w:rPr>
              <w:fldChar w:fldCharType="begin"/>
            </w:r>
            <w:r>
              <w:rPr>
                <w:noProof/>
                <w:webHidden/>
              </w:rPr>
              <w:instrText xml:space="preserve"> PAGEREF _Toc181011870 \h </w:instrText>
            </w:r>
            <w:r>
              <w:rPr>
                <w:noProof/>
                <w:webHidden/>
              </w:rPr>
            </w:r>
            <w:r>
              <w:rPr>
                <w:noProof/>
                <w:webHidden/>
              </w:rPr>
              <w:fldChar w:fldCharType="separate"/>
            </w:r>
            <w:r>
              <w:rPr>
                <w:noProof/>
                <w:webHidden/>
              </w:rPr>
              <w:t>19</w:t>
            </w:r>
            <w:r>
              <w:rPr>
                <w:noProof/>
                <w:webHidden/>
              </w:rPr>
              <w:fldChar w:fldCharType="end"/>
            </w:r>
          </w:hyperlink>
        </w:p>
        <w:p w14:paraId="13C2BD5B" w14:textId="56831BAC"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1" w:history="1">
            <w:r w:rsidRPr="00A41A78">
              <w:rPr>
                <w:rStyle w:val="Hyperlink"/>
                <w:noProof/>
                <w:lang w:val="fr-FR"/>
              </w:rPr>
              <w:t>Gestion des données</w:t>
            </w:r>
            <w:r>
              <w:rPr>
                <w:noProof/>
                <w:webHidden/>
              </w:rPr>
              <w:tab/>
            </w:r>
            <w:r>
              <w:rPr>
                <w:noProof/>
                <w:webHidden/>
              </w:rPr>
              <w:fldChar w:fldCharType="begin"/>
            </w:r>
            <w:r>
              <w:rPr>
                <w:noProof/>
                <w:webHidden/>
              </w:rPr>
              <w:instrText xml:space="preserve"> PAGEREF _Toc181011871 \h </w:instrText>
            </w:r>
            <w:r>
              <w:rPr>
                <w:noProof/>
                <w:webHidden/>
              </w:rPr>
            </w:r>
            <w:r>
              <w:rPr>
                <w:noProof/>
                <w:webHidden/>
              </w:rPr>
              <w:fldChar w:fldCharType="separate"/>
            </w:r>
            <w:r>
              <w:rPr>
                <w:noProof/>
                <w:webHidden/>
              </w:rPr>
              <w:t>19</w:t>
            </w:r>
            <w:r>
              <w:rPr>
                <w:noProof/>
                <w:webHidden/>
              </w:rPr>
              <w:fldChar w:fldCharType="end"/>
            </w:r>
          </w:hyperlink>
        </w:p>
        <w:p w14:paraId="30E71364" w14:textId="27B31251"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2" w:history="1">
            <w:r w:rsidRPr="00A41A78">
              <w:rPr>
                <w:rStyle w:val="Hyperlink"/>
                <w:noProof/>
                <w:lang w:val="fr-FR"/>
              </w:rPr>
              <w:t>Difficultés courantes</w:t>
            </w:r>
            <w:r>
              <w:rPr>
                <w:noProof/>
                <w:webHidden/>
              </w:rPr>
              <w:tab/>
            </w:r>
            <w:r>
              <w:rPr>
                <w:noProof/>
                <w:webHidden/>
              </w:rPr>
              <w:fldChar w:fldCharType="begin"/>
            </w:r>
            <w:r>
              <w:rPr>
                <w:noProof/>
                <w:webHidden/>
              </w:rPr>
              <w:instrText xml:space="preserve"> PAGEREF _Toc181011872 \h </w:instrText>
            </w:r>
            <w:r>
              <w:rPr>
                <w:noProof/>
                <w:webHidden/>
              </w:rPr>
            </w:r>
            <w:r>
              <w:rPr>
                <w:noProof/>
                <w:webHidden/>
              </w:rPr>
              <w:fldChar w:fldCharType="separate"/>
            </w:r>
            <w:r>
              <w:rPr>
                <w:noProof/>
                <w:webHidden/>
              </w:rPr>
              <w:t>20</w:t>
            </w:r>
            <w:r>
              <w:rPr>
                <w:noProof/>
                <w:webHidden/>
              </w:rPr>
              <w:fldChar w:fldCharType="end"/>
            </w:r>
          </w:hyperlink>
        </w:p>
        <w:p w14:paraId="2BDFBA2C" w14:textId="193CF67E"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3" w:history="1">
            <w:r w:rsidRPr="00A41A78">
              <w:rPr>
                <w:rStyle w:val="Hyperlink"/>
                <w:noProof/>
                <w:lang w:val="fr-FR"/>
              </w:rPr>
              <w:t>Méthodologie d’évaluation - Analyse et interprétation des données</w:t>
            </w:r>
            <w:r>
              <w:rPr>
                <w:noProof/>
                <w:webHidden/>
              </w:rPr>
              <w:tab/>
            </w:r>
            <w:r>
              <w:rPr>
                <w:noProof/>
                <w:webHidden/>
              </w:rPr>
              <w:fldChar w:fldCharType="begin"/>
            </w:r>
            <w:r>
              <w:rPr>
                <w:noProof/>
                <w:webHidden/>
              </w:rPr>
              <w:instrText xml:space="preserve"> PAGEREF _Toc181011873 \h </w:instrText>
            </w:r>
            <w:r>
              <w:rPr>
                <w:noProof/>
                <w:webHidden/>
              </w:rPr>
            </w:r>
            <w:r>
              <w:rPr>
                <w:noProof/>
                <w:webHidden/>
              </w:rPr>
              <w:fldChar w:fldCharType="separate"/>
            </w:r>
            <w:r>
              <w:rPr>
                <w:noProof/>
                <w:webHidden/>
              </w:rPr>
              <w:t>20</w:t>
            </w:r>
            <w:r>
              <w:rPr>
                <w:noProof/>
                <w:webHidden/>
              </w:rPr>
              <w:fldChar w:fldCharType="end"/>
            </w:r>
          </w:hyperlink>
        </w:p>
        <w:p w14:paraId="40F5F177" w14:textId="035A0B42"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4" w:history="1">
            <w:r w:rsidRPr="00A41A78">
              <w:rPr>
                <w:rStyle w:val="Hyperlink"/>
                <w:noProof/>
                <w:lang w:val="fr-FR"/>
              </w:rPr>
              <w:t>Analyse et interprétation pour l’Évaluation pratique</w:t>
            </w:r>
            <w:r>
              <w:rPr>
                <w:noProof/>
                <w:webHidden/>
              </w:rPr>
              <w:tab/>
            </w:r>
            <w:r>
              <w:rPr>
                <w:noProof/>
                <w:webHidden/>
              </w:rPr>
              <w:fldChar w:fldCharType="begin"/>
            </w:r>
            <w:r>
              <w:rPr>
                <w:noProof/>
                <w:webHidden/>
              </w:rPr>
              <w:instrText xml:space="preserve"> PAGEREF _Toc181011874 \h </w:instrText>
            </w:r>
            <w:r>
              <w:rPr>
                <w:noProof/>
                <w:webHidden/>
              </w:rPr>
            </w:r>
            <w:r>
              <w:rPr>
                <w:noProof/>
                <w:webHidden/>
              </w:rPr>
              <w:fldChar w:fldCharType="separate"/>
            </w:r>
            <w:r>
              <w:rPr>
                <w:noProof/>
                <w:webHidden/>
              </w:rPr>
              <w:t>21</w:t>
            </w:r>
            <w:r>
              <w:rPr>
                <w:noProof/>
                <w:webHidden/>
              </w:rPr>
              <w:fldChar w:fldCharType="end"/>
            </w:r>
          </w:hyperlink>
        </w:p>
        <w:p w14:paraId="363D4703" w14:textId="1FDBB288"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5" w:history="1">
            <w:r w:rsidRPr="00A41A78">
              <w:rPr>
                <w:rStyle w:val="Hyperlink"/>
                <w:noProof/>
                <w:lang w:val="fr-FR"/>
              </w:rPr>
              <w:t>Analyse et interprétation des évaluations de précision</w:t>
            </w:r>
            <w:r>
              <w:rPr>
                <w:noProof/>
                <w:webHidden/>
              </w:rPr>
              <w:tab/>
            </w:r>
            <w:r>
              <w:rPr>
                <w:noProof/>
                <w:webHidden/>
              </w:rPr>
              <w:fldChar w:fldCharType="begin"/>
            </w:r>
            <w:r>
              <w:rPr>
                <w:noProof/>
                <w:webHidden/>
              </w:rPr>
              <w:instrText xml:space="preserve"> PAGEREF _Toc181011875 \h </w:instrText>
            </w:r>
            <w:r>
              <w:rPr>
                <w:noProof/>
                <w:webHidden/>
              </w:rPr>
            </w:r>
            <w:r>
              <w:rPr>
                <w:noProof/>
                <w:webHidden/>
              </w:rPr>
              <w:fldChar w:fldCharType="separate"/>
            </w:r>
            <w:r>
              <w:rPr>
                <w:noProof/>
                <w:webHidden/>
              </w:rPr>
              <w:t>23</w:t>
            </w:r>
            <w:r>
              <w:rPr>
                <w:noProof/>
                <w:webHidden/>
              </w:rPr>
              <w:fldChar w:fldCharType="end"/>
            </w:r>
          </w:hyperlink>
        </w:p>
        <w:p w14:paraId="67D9FD54" w14:textId="4E43D42E"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6" w:history="1">
            <w:r w:rsidRPr="00A41A78">
              <w:rPr>
                <w:rStyle w:val="Hyperlink"/>
                <w:noProof/>
                <w:lang w:val="fr-FR"/>
              </w:rPr>
              <w:t>Supports de formation</w:t>
            </w:r>
            <w:r>
              <w:rPr>
                <w:noProof/>
                <w:webHidden/>
              </w:rPr>
              <w:tab/>
            </w:r>
            <w:r>
              <w:rPr>
                <w:noProof/>
                <w:webHidden/>
              </w:rPr>
              <w:fldChar w:fldCharType="begin"/>
            </w:r>
            <w:r>
              <w:rPr>
                <w:noProof/>
                <w:webHidden/>
              </w:rPr>
              <w:instrText xml:space="preserve"> PAGEREF _Toc181011876 \h </w:instrText>
            </w:r>
            <w:r>
              <w:rPr>
                <w:noProof/>
                <w:webHidden/>
              </w:rPr>
            </w:r>
            <w:r>
              <w:rPr>
                <w:noProof/>
                <w:webHidden/>
              </w:rPr>
              <w:fldChar w:fldCharType="separate"/>
            </w:r>
            <w:r>
              <w:rPr>
                <w:noProof/>
                <w:webHidden/>
              </w:rPr>
              <w:t>24</w:t>
            </w:r>
            <w:r>
              <w:rPr>
                <w:noProof/>
                <w:webHidden/>
              </w:rPr>
              <w:fldChar w:fldCharType="end"/>
            </w:r>
          </w:hyperlink>
        </w:p>
        <w:p w14:paraId="30D8650B" w14:textId="4994EEC0"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7" w:history="1">
            <w:r w:rsidRPr="00A41A78">
              <w:rPr>
                <w:rStyle w:val="Hyperlink"/>
                <w:noProof/>
                <w:spacing w:val="-2"/>
                <w:lang w:val="fr-FR"/>
              </w:rPr>
              <w:t>Références</w:t>
            </w:r>
            <w:r>
              <w:rPr>
                <w:noProof/>
                <w:webHidden/>
              </w:rPr>
              <w:tab/>
            </w:r>
            <w:r>
              <w:rPr>
                <w:noProof/>
                <w:webHidden/>
              </w:rPr>
              <w:fldChar w:fldCharType="begin"/>
            </w:r>
            <w:r>
              <w:rPr>
                <w:noProof/>
                <w:webHidden/>
              </w:rPr>
              <w:instrText xml:space="preserve"> PAGEREF _Toc181011877 \h </w:instrText>
            </w:r>
            <w:r>
              <w:rPr>
                <w:noProof/>
                <w:webHidden/>
              </w:rPr>
            </w:r>
            <w:r>
              <w:rPr>
                <w:noProof/>
                <w:webHidden/>
              </w:rPr>
              <w:fldChar w:fldCharType="separate"/>
            </w:r>
            <w:r>
              <w:rPr>
                <w:noProof/>
                <w:webHidden/>
              </w:rPr>
              <w:t>25</w:t>
            </w:r>
            <w:r>
              <w:rPr>
                <w:noProof/>
                <w:webHidden/>
              </w:rPr>
              <w:fldChar w:fldCharType="end"/>
            </w:r>
          </w:hyperlink>
        </w:p>
        <w:p w14:paraId="78A9358D" w14:textId="57224F64"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8" w:history="1">
            <w:r w:rsidRPr="00A41A78">
              <w:rPr>
                <w:rStyle w:val="Hyperlink"/>
                <w:noProof/>
                <w:spacing w:val="-2"/>
                <w:lang w:val="fr-FR"/>
              </w:rPr>
              <w:t>Annexe 1 : Formulaires d’enquête (à utiliser dans le système ESPEN Collect)</w:t>
            </w:r>
            <w:r>
              <w:rPr>
                <w:noProof/>
                <w:webHidden/>
              </w:rPr>
              <w:tab/>
            </w:r>
            <w:r>
              <w:rPr>
                <w:noProof/>
                <w:webHidden/>
              </w:rPr>
              <w:fldChar w:fldCharType="begin"/>
            </w:r>
            <w:r>
              <w:rPr>
                <w:noProof/>
                <w:webHidden/>
              </w:rPr>
              <w:instrText xml:space="preserve"> PAGEREF _Toc181011878 \h </w:instrText>
            </w:r>
            <w:r>
              <w:rPr>
                <w:noProof/>
                <w:webHidden/>
              </w:rPr>
            </w:r>
            <w:r>
              <w:rPr>
                <w:noProof/>
                <w:webHidden/>
              </w:rPr>
              <w:fldChar w:fldCharType="separate"/>
            </w:r>
            <w:r>
              <w:rPr>
                <w:noProof/>
                <w:webHidden/>
              </w:rPr>
              <w:t>26</w:t>
            </w:r>
            <w:r>
              <w:rPr>
                <w:noProof/>
                <w:webHidden/>
              </w:rPr>
              <w:fldChar w:fldCharType="end"/>
            </w:r>
          </w:hyperlink>
        </w:p>
        <w:p w14:paraId="0E786B45" w14:textId="245FA633"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79" w:history="1">
            <w:r w:rsidRPr="00A41A78">
              <w:rPr>
                <w:rStyle w:val="Hyperlink"/>
                <w:noProof/>
                <w:lang w:val="fr-FR"/>
              </w:rPr>
              <w:t>Formulaire au niveau du site (école ou communauté)</w:t>
            </w:r>
            <w:r>
              <w:rPr>
                <w:noProof/>
                <w:webHidden/>
              </w:rPr>
              <w:tab/>
            </w:r>
            <w:r>
              <w:rPr>
                <w:noProof/>
                <w:webHidden/>
              </w:rPr>
              <w:fldChar w:fldCharType="begin"/>
            </w:r>
            <w:r>
              <w:rPr>
                <w:noProof/>
                <w:webHidden/>
              </w:rPr>
              <w:instrText xml:space="preserve"> PAGEREF _Toc181011879 \h </w:instrText>
            </w:r>
            <w:r>
              <w:rPr>
                <w:noProof/>
                <w:webHidden/>
              </w:rPr>
            </w:r>
            <w:r>
              <w:rPr>
                <w:noProof/>
                <w:webHidden/>
              </w:rPr>
              <w:fldChar w:fldCharType="separate"/>
            </w:r>
            <w:r>
              <w:rPr>
                <w:noProof/>
                <w:webHidden/>
              </w:rPr>
              <w:t>26</w:t>
            </w:r>
            <w:r>
              <w:rPr>
                <w:noProof/>
                <w:webHidden/>
              </w:rPr>
              <w:fldChar w:fldCharType="end"/>
            </w:r>
          </w:hyperlink>
        </w:p>
        <w:p w14:paraId="3CB7F216" w14:textId="72C59170"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0" w:history="1">
            <w:r w:rsidRPr="00A41A78">
              <w:rPr>
                <w:rStyle w:val="Hyperlink"/>
                <w:noProof/>
                <w:lang w:val="fr-FR"/>
              </w:rPr>
              <w:t>Registre des participants (papier)</w:t>
            </w:r>
            <w:r>
              <w:rPr>
                <w:noProof/>
                <w:webHidden/>
              </w:rPr>
              <w:tab/>
            </w:r>
            <w:r>
              <w:rPr>
                <w:noProof/>
                <w:webHidden/>
              </w:rPr>
              <w:fldChar w:fldCharType="begin"/>
            </w:r>
            <w:r>
              <w:rPr>
                <w:noProof/>
                <w:webHidden/>
              </w:rPr>
              <w:instrText xml:space="preserve"> PAGEREF _Toc181011880 \h </w:instrText>
            </w:r>
            <w:r>
              <w:rPr>
                <w:noProof/>
                <w:webHidden/>
              </w:rPr>
            </w:r>
            <w:r>
              <w:rPr>
                <w:noProof/>
                <w:webHidden/>
              </w:rPr>
              <w:fldChar w:fldCharType="separate"/>
            </w:r>
            <w:r>
              <w:rPr>
                <w:noProof/>
                <w:webHidden/>
              </w:rPr>
              <w:t>27</w:t>
            </w:r>
            <w:r>
              <w:rPr>
                <w:noProof/>
                <w:webHidden/>
              </w:rPr>
              <w:fldChar w:fldCharType="end"/>
            </w:r>
          </w:hyperlink>
        </w:p>
        <w:p w14:paraId="77CEFC6C" w14:textId="140D739E"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1" w:history="1">
            <w:r w:rsidRPr="00A41A78">
              <w:rPr>
                <w:rStyle w:val="Hyperlink"/>
                <w:noProof/>
                <w:lang w:val="fr-FR"/>
              </w:rPr>
              <w:t>Formulaire de saisie des données des participants (électronique)</w:t>
            </w:r>
            <w:r>
              <w:rPr>
                <w:noProof/>
                <w:webHidden/>
              </w:rPr>
              <w:tab/>
            </w:r>
            <w:r>
              <w:rPr>
                <w:noProof/>
                <w:webHidden/>
              </w:rPr>
              <w:fldChar w:fldCharType="begin"/>
            </w:r>
            <w:r>
              <w:rPr>
                <w:noProof/>
                <w:webHidden/>
              </w:rPr>
              <w:instrText xml:space="preserve"> PAGEREF _Toc181011881 \h </w:instrText>
            </w:r>
            <w:r>
              <w:rPr>
                <w:noProof/>
                <w:webHidden/>
              </w:rPr>
            </w:r>
            <w:r>
              <w:rPr>
                <w:noProof/>
                <w:webHidden/>
              </w:rPr>
              <w:fldChar w:fldCharType="separate"/>
            </w:r>
            <w:r>
              <w:rPr>
                <w:noProof/>
                <w:webHidden/>
              </w:rPr>
              <w:t>28</w:t>
            </w:r>
            <w:r>
              <w:rPr>
                <w:noProof/>
                <w:webHidden/>
              </w:rPr>
              <w:fldChar w:fldCharType="end"/>
            </w:r>
          </w:hyperlink>
        </w:p>
        <w:p w14:paraId="5AB6B18B" w14:textId="6AE4D307"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2" w:history="1">
            <w:r w:rsidRPr="00A41A78">
              <w:rPr>
                <w:rStyle w:val="Hyperlink"/>
                <w:noProof/>
                <w:lang w:val="fr-FR"/>
              </w:rPr>
              <w:t>Feuille de décompte des urines (papier)</w:t>
            </w:r>
            <w:r>
              <w:rPr>
                <w:noProof/>
                <w:webHidden/>
              </w:rPr>
              <w:tab/>
            </w:r>
            <w:r>
              <w:rPr>
                <w:noProof/>
                <w:webHidden/>
              </w:rPr>
              <w:fldChar w:fldCharType="begin"/>
            </w:r>
            <w:r>
              <w:rPr>
                <w:noProof/>
                <w:webHidden/>
              </w:rPr>
              <w:instrText xml:space="preserve"> PAGEREF _Toc181011882 \h </w:instrText>
            </w:r>
            <w:r>
              <w:rPr>
                <w:noProof/>
                <w:webHidden/>
              </w:rPr>
            </w:r>
            <w:r>
              <w:rPr>
                <w:noProof/>
                <w:webHidden/>
              </w:rPr>
              <w:fldChar w:fldCharType="separate"/>
            </w:r>
            <w:r>
              <w:rPr>
                <w:noProof/>
                <w:webHidden/>
              </w:rPr>
              <w:t>29</w:t>
            </w:r>
            <w:r>
              <w:rPr>
                <w:noProof/>
                <w:webHidden/>
              </w:rPr>
              <w:fldChar w:fldCharType="end"/>
            </w:r>
          </w:hyperlink>
        </w:p>
        <w:p w14:paraId="2DC61A82" w14:textId="133847EE"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3" w:history="1">
            <w:r w:rsidRPr="00A41A78">
              <w:rPr>
                <w:rStyle w:val="Hyperlink"/>
                <w:noProof/>
                <w:lang w:val="fr-FR"/>
              </w:rPr>
              <w:t>Feuille de décompte des selles (papier)</w:t>
            </w:r>
            <w:r>
              <w:rPr>
                <w:noProof/>
                <w:webHidden/>
              </w:rPr>
              <w:tab/>
            </w:r>
            <w:r>
              <w:rPr>
                <w:noProof/>
                <w:webHidden/>
              </w:rPr>
              <w:fldChar w:fldCharType="begin"/>
            </w:r>
            <w:r>
              <w:rPr>
                <w:noProof/>
                <w:webHidden/>
              </w:rPr>
              <w:instrText xml:space="preserve"> PAGEREF _Toc181011883 \h </w:instrText>
            </w:r>
            <w:r>
              <w:rPr>
                <w:noProof/>
                <w:webHidden/>
              </w:rPr>
            </w:r>
            <w:r>
              <w:rPr>
                <w:noProof/>
                <w:webHidden/>
              </w:rPr>
              <w:fldChar w:fldCharType="separate"/>
            </w:r>
            <w:r>
              <w:rPr>
                <w:noProof/>
                <w:webHidden/>
              </w:rPr>
              <w:t>31</w:t>
            </w:r>
            <w:r>
              <w:rPr>
                <w:noProof/>
                <w:webHidden/>
              </w:rPr>
              <w:fldChar w:fldCharType="end"/>
            </w:r>
          </w:hyperlink>
        </w:p>
        <w:p w14:paraId="23F3AE1E" w14:textId="29C0991B"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4" w:history="1">
            <w:r w:rsidRPr="00A41A78">
              <w:rPr>
                <w:rStyle w:val="Hyperlink"/>
                <w:noProof/>
                <w:lang w:val="fr-FR"/>
              </w:rPr>
              <w:t>Formulaire d’urine (électronique)</w:t>
            </w:r>
            <w:r>
              <w:rPr>
                <w:noProof/>
                <w:webHidden/>
              </w:rPr>
              <w:tab/>
            </w:r>
            <w:r>
              <w:rPr>
                <w:noProof/>
                <w:webHidden/>
              </w:rPr>
              <w:fldChar w:fldCharType="begin"/>
            </w:r>
            <w:r>
              <w:rPr>
                <w:noProof/>
                <w:webHidden/>
              </w:rPr>
              <w:instrText xml:space="preserve"> PAGEREF _Toc181011884 \h </w:instrText>
            </w:r>
            <w:r>
              <w:rPr>
                <w:noProof/>
                <w:webHidden/>
              </w:rPr>
            </w:r>
            <w:r>
              <w:rPr>
                <w:noProof/>
                <w:webHidden/>
              </w:rPr>
              <w:fldChar w:fldCharType="separate"/>
            </w:r>
            <w:r>
              <w:rPr>
                <w:noProof/>
                <w:webHidden/>
              </w:rPr>
              <w:t>33</w:t>
            </w:r>
            <w:r>
              <w:rPr>
                <w:noProof/>
                <w:webHidden/>
              </w:rPr>
              <w:fldChar w:fldCharType="end"/>
            </w:r>
          </w:hyperlink>
        </w:p>
        <w:p w14:paraId="566B73E9" w14:textId="4B7D890E"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5" w:history="1">
            <w:r w:rsidRPr="00A41A78">
              <w:rPr>
                <w:rStyle w:val="Hyperlink"/>
                <w:noProof/>
                <w:lang w:val="fr-FR"/>
              </w:rPr>
              <w:t>Formulaire Kato-Katz (électronique)</w:t>
            </w:r>
            <w:r>
              <w:rPr>
                <w:noProof/>
                <w:webHidden/>
              </w:rPr>
              <w:tab/>
            </w:r>
            <w:r>
              <w:rPr>
                <w:noProof/>
                <w:webHidden/>
              </w:rPr>
              <w:fldChar w:fldCharType="begin"/>
            </w:r>
            <w:r>
              <w:rPr>
                <w:noProof/>
                <w:webHidden/>
              </w:rPr>
              <w:instrText xml:space="preserve"> PAGEREF _Toc181011885 \h </w:instrText>
            </w:r>
            <w:r>
              <w:rPr>
                <w:noProof/>
                <w:webHidden/>
              </w:rPr>
            </w:r>
            <w:r>
              <w:rPr>
                <w:noProof/>
                <w:webHidden/>
              </w:rPr>
              <w:fldChar w:fldCharType="separate"/>
            </w:r>
            <w:r>
              <w:rPr>
                <w:noProof/>
                <w:webHidden/>
              </w:rPr>
              <w:t>34</w:t>
            </w:r>
            <w:r>
              <w:rPr>
                <w:noProof/>
                <w:webHidden/>
              </w:rPr>
              <w:fldChar w:fldCharType="end"/>
            </w:r>
          </w:hyperlink>
        </w:p>
        <w:p w14:paraId="734AA8A1" w14:textId="366A9B34"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6" w:history="1">
            <w:r w:rsidRPr="00A41A78">
              <w:rPr>
                <w:rStyle w:val="Hyperlink"/>
                <w:noProof/>
                <w:lang w:val="fr-FR"/>
              </w:rPr>
              <w:t>Annexe 2 : Formulaires d’information et de consentement</w:t>
            </w:r>
            <w:r>
              <w:rPr>
                <w:noProof/>
                <w:webHidden/>
              </w:rPr>
              <w:tab/>
            </w:r>
            <w:r>
              <w:rPr>
                <w:noProof/>
                <w:webHidden/>
              </w:rPr>
              <w:fldChar w:fldCharType="begin"/>
            </w:r>
            <w:r>
              <w:rPr>
                <w:noProof/>
                <w:webHidden/>
              </w:rPr>
              <w:instrText xml:space="preserve"> PAGEREF _Toc181011886 \h </w:instrText>
            </w:r>
            <w:r>
              <w:rPr>
                <w:noProof/>
                <w:webHidden/>
              </w:rPr>
            </w:r>
            <w:r>
              <w:rPr>
                <w:noProof/>
                <w:webHidden/>
              </w:rPr>
              <w:fldChar w:fldCharType="separate"/>
            </w:r>
            <w:r>
              <w:rPr>
                <w:noProof/>
                <w:webHidden/>
              </w:rPr>
              <w:t>35</w:t>
            </w:r>
            <w:r>
              <w:rPr>
                <w:noProof/>
                <w:webHidden/>
              </w:rPr>
              <w:fldChar w:fldCharType="end"/>
            </w:r>
          </w:hyperlink>
        </w:p>
        <w:p w14:paraId="1234136A" w14:textId="0D8401E6"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7" w:history="1">
            <w:r w:rsidRPr="00A41A78">
              <w:rPr>
                <w:rStyle w:val="Hyperlink"/>
                <w:noProof/>
                <w:lang w:val="fr-FR"/>
              </w:rPr>
              <w:t>Procédure de consentement éclairé</w:t>
            </w:r>
            <w:r>
              <w:rPr>
                <w:noProof/>
                <w:webHidden/>
              </w:rPr>
              <w:tab/>
            </w:r>
            <w:r>
              <w:rPr>
                <w:noProof/>
                <w:webHidden/>
              </w:rPr>
              <w:fldChar w:fldCharType="begin"/>
            </w:r>
            <w:r>
              <w:rPr>
                <w:noProof/>
                <w:webHidden/>
              </w:rPr>
              <w:instrText xml:space="preserve"> PAGEREF _Toc181011887 \h </w:instrText>
            </w:r>
            <w:r>
              <w:rPr>
                <w:noProof/>
                <w:webHidden/>
              </w:rPr>
            </w:r>
            <w:r>
              <w:rPr>
                <w:noProof/>
                <w:webHidden/>
              </w:rPr>
              <w:fldChar w:fldCharType="separate"/>
            </w:r>
            <w:r>
              <w:rPr>
                <w:noProof/>
                <w:webHidden/>
              </w:rPr>
              <w:t>35</w:t>
            </w:r>
            <w:r>
              <w:rPr>
                <w:noProof/>
                <w:webHidden/>
              </w:rPr>
              <w:fldChar w:fldCharType="end"/>
            </w:r>
          </w:hyperlink>
        </w:p>
        <w:p w14:paraId="72D984C6" w14:textId="16CDDF1F"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8" w:history="1">
            <w:r w:rsidRPr="00A41A78">
              <w:rPr>
                <w:rStyle w:val="Hyperlink"/>
                <w:noProof/>
                <w:lang w:val="fr-FR"/>
              </w:rPr>
              <w:t>Évaluations pratiques et de précision sur la schistosomiase : Fiche d’informations – Parents (formulaire A.1)</w:t>
            </w:r>
            <w:r>
              <w:rPr>
                <w:noProof/>
                <w:webHidden/>
              </w:rPr>
              <w:lastRenderedPageBreak/>
              <w:tab/>
            </w:r>
            <w:r>
              <w:rPr>
                <w:noProof/>
                <w:webHidden/>
              </w:rPr>
              <w:fldChar w:fldCharType="begin"/>
            </w:r>
            <w:r>
              <w:rPr>
                <w:noProof/>
                <w:webHidden/>
              </w:rPr>
              <w:instrText xml:space="preserve"> PAGEREF _Toc181011888 \h </w:instrText>
            </w:r>
            <w:r>
              <w:rPr>
                <w:noProof/>
                <w:webHidden/>
              </w:rPr>
            </w:r>
            <w:r>
              <w:rPr>
                <w:noProof/>
                <w:webHidden/>
              </w:rPr>
              <w:fldChar w:fldCharType="separate"/>
            </w:r>
            <w:r>
              <w:rPr>
                <w:noProof/>
                <w:webHidden/>
              </w:rPr>
              <w:t>37</w:t>
            </w:r>
            <w:r>
              <w:rPr>
                <w:noProof/>
                <w:webHidden/>
              </w:rPr>
              <w:fldChar w:fldCharType="end"/>
            </w:r>
          </w:hyperlink>
        </w:p>
        <w:p w14:paraId="1DC793C5" w14:textId="40729C25"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89" w:history="1">
            <w:r w:rsidRPr="00A41A78">
              <w:rPr>
                <w:rStyle w:val="Hyperlink"/>
                <w:noProof/>
                <w:lang w:val="fr-FR"/>
              </w:rPr>
              <w:t>Évaluations pratiques et de précision sur la schistosomiase : Fiche d’informations – Responsable d’établissement (formulaire B.1)</w:t>
            </w:r>
            <w:r>
              <w:rPr>
                <w:noProof/>
                <w:webHidden/>
              </w:rPr>
              <w:tab/>
            </w:r>
            <w:r>
              <w:rPr>
                <w:noProof/>
                <w:webHidden/>
              </w:rPr>
              <w:fldChar w:fldCharType="begin"/>
            </w:r>
            <w:r>
              <w:rPr>
                <w:noProof/>
                <w:webHidden/>
              </w:rPr>
              <w:instrText xml:space="preserve"> PAGEREF _Toc181011889 \h </w:instrText>
            </w:r>
            <w:r>
              <w:rPr>
                <w:noProof/>
                <w:webHidden/>
              </w:rPr>
            </w:r>
            <w:r>
              <w:rPr>
                <w:noProof/>
                <w:webHidden/>
              </w:rPr>
              <w:fldChar w:fldCharType="separate"/>
            </w:r>
            <w:r>
              <w:rPr>
                <w:noProof/>
                <w:webHidden/>
              </w:rPr>
              <w:t>40</w:t>
            </w:r>
            <w:r>
              <w:rPr>
                <w:noProof/>
                <w:webHidden/>
              </w:rPr>
              <w:fldChar w:fldCharType="end"/>
            </w:r>
          </w:hyperlink>
        </w:p>
        <w:p w14:paraId="0C7CBF84" w14:textId="2429532D"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90" w:history="1">
            <w:r w:rsidRPr="00A41A78">
              <w:rPr>
                <w:rStyle w:val="Hyperlink"/>
                <w:noProof/>
                <w:lang w:val="fr-FR"/>
              </w:rPr>
              <w:t>Évaluations pratiques et de précision sur la schistosomiase : Formulaire de consentement - Enfants scolarisés (formulaire C.1)</w:t>
            </w:r>
            <w:r>
              <w:rPr>
                <w:noProof/>
                <w:webHidden/>
              </w:rPr>
              <w:tab/>
            </w:r>
            <w:r>
              <w:rPr>
                <w:noProof/>
                <w:webHidden/>
              </w:rPr>
              <w:fldChar w:fldCharType="begin"/>
            </w:r>
            <w:r>
              <w:rPr>
                <w:noProof/>
                <w:webHidden/>
              </w:rPr>
              <w:instrText xml:space="preserve"> PAGEREF _Toc181011890 \h </w:instrText>
            </w:r>
            <w:r>
              <w:rPr>
                <w:noProof/>
                <w:webHidden/>
              </w:rPr>
            </w:r>
            <w:r>
              <w:rPr>
                <w:noProof/>
                <w:webHidden/>
              </w:rPr>
              <w:fldChar w:fldCharType="separate"/>
            </w:r>
            <w:r>
              <w:rPr>
                <w:noProof/>
                <w:webHidden/>
              </w:rPr>
              <w:t>43</w:t>
            </w:r>
            <w:r>
              <w:rPr>
                <w:noProof/>
                <w:webHidden/>
              </w:rPr>
              <w:fldChar w:fldCharType="end"/>
            </w:r>
          </w:hyperlink>
        </w:p>
        <w:p w14:paraId="28CBE15A" w14:textId="3CFB7457" w:rsidR="00F32013" w:rsidRDefault="00F32013">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91" w:history="1">
            <w:r w:rsidRPr="00A41A78">
              <w:rPr>
                <w:rStyle w:val="Hyperlink"/>
                <w:noProof/>
                <w:lang w:val="fr-FR"/>
              </w:rPr>
              <w:t>Évaluations pratiques et de précision sur la schistosomiase : Formulaire de consentement - Responsable d’établissement (formulaire B.2)</w:t>
            </w:r>
            <w:r>
              <w:rPr>
                <w:noProof/>
                <w:webHidden/>
              </w:rPr>
              <w:tab/>
            </w:r>
            <w:r>
              <w:rPr>
                <w:noProof/>
                <w:webHidden/>
              </w:rPr>
              <w:fldChar w:fldCharType="begin"/>
            </w:r>
            <w:r>
              <w:rPr>
                <w:noProof/>
                <w:webHidden/>
              </w:rPr>
              <w:instrText xml:space="preserve"> PAGEREF _Toc181011891 \h </w:instrText>
            </w:r>
            <w:r>
              <w:rPr>
                <w:noProof/>
                <w:webHidden/>
              </w:rPr>
            </w:r>
            <w:r>
              <w:rPr>
                <w:noProof/>
                <w:webHidden/>
              </w:rPr>
              <w:fldChar w:fldCharType="separate"/>
            </w:r>
            <w:r>
              <w:rPr>
                <w:noProof/>
                <w:webHidden/>
              </w:rPr>
              <w:t>46</w:t>
            </w:r>
            <w:r>
              <w:rPr>
                <w:noProof/>
                <w:webHidden/>
              </w:rPr>
              <w:fldChar w:fldCharType="end"/>
            </w:r>
          </w:hyperlink>
        </w:p>
        <w:p w14:paraId="30910E97" w14:textId="2498003F"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92" w:history="1">
            <w:r w:rsidRPr="00A41A78">
              <w:rPr>
                <w:rStyle w:val="Hyperlink"/>
                <w:noProof/>
                <w:lang w:val="fr-FR"/>
              </w:rPr>
              <w:t>Annexe 3 : Mode opératoire normalisé pour les bandelettes Hemastix</w:t>
            </w:r>
            <w:r>
              <w:rPr>
                <w:noProof/>
                <w:webHidden/>
              </w:rPr>
              <w:tab/>
            </w:r>
            <w:r>
              <w:rPr>
                <w:noProof/>
                <w:webHidden/>
              </w:rPr>
              <w:fldChar w:fldCharType="begin"/>
            </w:r>
            <w:r>
              <w:rPr>
                <w:noProof/>
                <w:webHidden/>
              </w:rPr>
              <w:instrText xml:space="preserve"> PAGEREF _Toc181011892 \h </w:instrText>
            </w:r>
            <w:r>
              <w:rPr>
                <w:noProof/>
                <w:webHidden/>
              </w:rPr>
            </w:r>
            <w:r>
              <w:rPr>
                <w:noProof/>
                <w:webHidden/>
              </w:rPr>
              <w:fldChar w:fldCharType="separate"/>
            </w:r>
            <w:r>
              <w:rPr>
                <w:noProof/>
                <w:webHidden/>
              </w:rPr>
              <w:t>47</w:t>
            </w:r>
            <w:r>
              <w:rPr>
                <w:noProof/>
                <w:webHidden/>
              </w:rPr>
              <w:fldChar w:fldCharType="end"/>
            </w:r>
          </w:hyperlink>
        </w:p>
        <w:p w14:paraId="47E988FA" w14:textId="526BDA4C"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93" w:history="1">
            <w:r w:rsidRPr="00A41A78">
              <w:rPr>
                <w:rStyle w:val="Hyperlink"/>
                <w:noProof/>
                <w:lang w:val="fr-FR"/>
              </w:rPr>
              <w:t>Annexe 4 : Mode opératoire normalisé pour la filtration de l’urine</w:t>
            </w:r>
            <w:r>
              <w:rPr>
                <w:noProof/>
                <w:webHidden/>
              </w:rPr>
              <w:tab/>
            </w:r>
            <w:r>
              <w:rPr>
                <w:noProof/>
                <w:webHidden/>
              </w:rPr>
              <w:fldChar w:fldCharType="begin"/>
            </w:r>
            <w:r>
              <w:rPr>
                <w:noProof/>
                <w:webHidden/>
              </w:rPr>
              <w:instrText xml:space="preserve"> PAGEREF _Toc181011893 \h </w:instrText>
            </w:r>
            <w:r>
              <w:rPr>
                <w:noProof/>
                <w:webHidden/>
              </w:rPr>
            </w:r>
            <w:r>
              <w:rPr>
                <w:noProof/>
                <w:webHidden/>
              </w:rPr>
              <w:fldChar w:fldCharType="separate"/>
            </w:r>
            <w:r>
              <w:rPr>
                <w:noProof/>
                <w:webHidden/>
              </w:rPr>
              <w:t>49</w:t>
            </w:r>
            <w:r>
              <w:rPr>
                <w:noProof/>
                <w:webHidden/>
              </w:rPr>
              <w:fldChar w:fldCharType="end"/>
            </w:r>
          </w:hyperlink>
        </w:p>
        <w:p w14:paraId="6538BBA8" w14:textId="412B7406"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94" w:history="1">
            <w:r w:rsidRPr="00A41A78">
              <w:rPr>
                <w:rStyle w:val="Hyperlink"/>
                <w:noProof/>
                <w:lang w:val="fr-FR"/>
              </w:rPr>
              <w:t>Annexe 5 : Mode opératoire normalisé pour la technique de Kato Katz</w:t>
            </w:r>
            <w:r>
              <w:rPr>
                <w:noProof/>
                <w:webHidden/>
              </w:rPr>
              <w:tab/>
            </w:r>
            <w:r>
              <w:rPr>
                <w:noProof/>
                <w:webHidden/>
              </w:rPr>
              <w:fldChar w:fldCharType="begin"/>
            </w:r>
            <w:r>
              <w:rPr>
                <w:noProof/>
                <w:webHidden/>
              </w:rPr>
              <w:instrText xml:space="preserve"> PAGEREF _Toc181011894 \h </w:instrText>
            </w:r>
            <w:r>
              <w:rPr>
                <w:noProof/>
                <w:webHidden/>
              </w:rPr>
            </w:r>
            <w:r>
              <w:rPr>
                <w:noProof/>
                <w:webHidden/>
              </w:rPr>
              <w:fldChar w:fldCharType="separate"/>
            </w:r>
            <w:r>
              <w:rPr>
                <w:noProof/>
                <w:webHidden/>
              </w:rPr>
              <w:t>53</w:t>
            </w:r>
            <w:r>
              <w:rPr>
                <w:noProof/>
                <w:webHidden/>
              </w:rPr>
              <w:fldChar w:fldCharType="end"/>
            </w:r>
          </w:hyperlink>
        </w:p>
        <w:p w14:paraId="4C83F7E5" w14:textId="3E646B0C"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95" w:history="1">
            <w:r w:rsidRPr="00A41A78">
              <w:rPr>
                <w:rStyle w:val="Hyperlink"/>
                <w:noProof/>
                <w:lang w:val="fr-FR"/>
              </w:rPr>
              <w:t xml:space="preserve">Annexe 6: </w:t>
            </w:r>
            <w:r w:rsidRPr="00A41A78">
              <w:rPr>
                <w:rStyle w:val="Hyperlink"/>
                <w:noProof/>
                <w:lang w:val="fr"/>
              </w:rPr>
              <w:t>Évaluation de geohelmintiasis au cours de la SPPA</w:t>
            </w:r>
            <w:r>
              <w:rPr>
                <w:noProof/>
                <w:webHidden/>
              </w:rPr>
              <w:tab/>
            </w:r>
            <w:r>
              <w:rPr>
                <w:noProof/>
                <w:webHidden/>
              </w:rPr>
              <w:fldChar w:fldCharType="begin"/>
            </w:r>
            <w:r>
              <w:rPr>
                <w:noProof/>
                <w:webHidden/>
              </w:rPr>
              <w:instrText xml:space="preserve"> PAGEREF _Toc181011895 \h </w:instrText>
            </w:r>
            <w:r>
              <w:rPr>
                <w:noProof/>
                <w:webHidden/>
              </w:rPr>
            </w:r>
            <w:r>
              <w:rPr>
                <w:noProof/>
                <w:webHidden/>
              </w:rPr>
              <w:fldChar w:fldCharType="separate"/>
            </w:r>
            <w:r>
              <w:rPr>
                <w:noProof/>
                <w:webHidden/>
              </w:rPr>
              <w:t>57</w:t>
            </w:r>
            <w:r>
              <w:rPr>
                <w:noProof/>
                <w:webHidden/>
              </w:rPr>
              <w:fldChar w:fldCharType="end"/>
            </w:r>
          </w:hyperlink>
        </w:p>
        <w:p w14:paraId="7DC9DA30" w14:textId="26D22E20" w:rsidR="00F32013" w:rsidRDefault="00F32013">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1896" w:history="1">
            <w:r w:rsidRPr="00A41A78">
              <w:rPr>
                <w:rStyle w:val="Hyperlink"/>
                <w:noProof/>
                <w:lang w:val="fr-FR"/>
              </w:rPr>
              <w:t>Annexe 7 : Évaluation de T. solium au cours de la SPPA</w:t>
            </w:r>
            <w:r>
              <w:rPr>
                <w:noProof/>
                <w:webHidden/>
              </w:rPr>
              <w:tab/>
            </w:r>
            <w:r>
              <w:rPr>
                <w:noProof/>
                <w:webHidden/>
              </w:rPr>
              <w:fldChar w:fldCharType="begin"/>
            </w:r>
            <w:r>
              <w:rPr>
                <w:noProof/>
                <w:webHidden/>
              </w:rPr>
              <w:instrText xml:space="preserve"> PAGEREF _Toc181011896 \h </w:instrText>
            </w:r>
            <w:r>
              <w:rPr>
                <w:noProof/>
                <w:webHidden/>
              </w:rPr>
            </w:r>
            <w:r>
              <w:rPr>
                <w:noProof/>
                <w:webHidden/>
              </w:rPr>
              <w:fldChar w:fldCharType="separate"/>
            </w:r>
            <w:r>
              <w:rPr>
                <w:noProof/>
                <w:webHidden/>
              </w:rPr>
              <w:t>65</w:t>
            </w:r>
            <w:r>
              <w:rPr>
                <w:noProof/>
                <w:webHidden/>
              </w:rPr>
              <w:fldChar w:fldCharType="end"/>
            </w:r>
          </w:hyperlink>
        </w:p>
        <w:p w14:paraId="2DA483C4" w14:textId="43C46703" w:rsidR="001A5C58" w:rsidRPr="005669CE" w:rsidRDefault="00DB0A1C" w:rsidP="00CE74C2">
          <w:pPr>
            <w:jc w:val="both"/>
          </w:pPr>
          <w:r w:rsidRPr="005669CE">
            <w:fldChar w:fldCharType="end"/>
          </w:r>
        </w:p>
      </w:sdtContent>
    </w:sdt>
    <w:p w14:paraId="1B5FD0CB" w14:textId="77777777" w:rsidR="008534DE" w:rsidRPr="005669CE" w:rsidRDefault="008534DE" w:rsidP="00CE74C2">
      <w:pPr>
        <w:jc w:val="both"/>
      </w:pPr>
    </w:p>
    <w:p w14:paraId="45D9C660" w14:textId="77777777" w:rsidR="00CE33EF" w:rsidRPr="005669CE" w:rsidRDefault="00DB0A1C" w:rsidP="00CE74C2">
      <w:pPr>
        <w:jc w:val="both"/>
        <w:rPr>
          <w:rFonts w:ascii="Calibri Light" w:eastAsia="Calibri Light" w:hAnsi="Calibri Light" w:cs="Calibri Light"/>
          <w:color w:val="1F3863"/>
          <w:spacing w:val="-2"/>
          <w:sz w:val="36"/>
          <w:szCs w:val="36"/>
        </w:rPr>
      </w:pPr>
      <w:r w:rsidRPr="005669CE">
        <w:rPr>
          <w:color w:val="1F3863"/>
          <w:spacing w:val="-2"/>
          <w:lang w:val="fr-FR"/>
        </w:rPr>
        <w:br w:type="page"/>
      </w:r>
    </w:p>
    <w:p w14:paraId="4E9C276B" w14:textId="77777777" w:rsidR="000E2E95" w:rsidRPr="005669CE" w:rsidRDefault="00DB0A1C" w:rsidP="00760B03">
      <w:pPr>
        <w:pStyle w:val="Heading1"/>
        <w:ind w:left="0"/>
        <w:jc w:val="both"/>
        <w:rPr>
          <w:color w:val="1F3863"/>
          <w:spacing w:val="-2"/>
        </w:rPr>
      </w:pPr>
      <w:bookmarkStart w:id="0" w:name="_Toc181011857"/>
      <w:r w:rsidRPr="005669CE">
        <w:rPr>
          <w:color w:val="1F3863"/>
          <w:spacing w:val="-2"/>
          <w:lang w:val="fr-FR"/>
        </w:rPr>
        <w:lastRenderedPageBreak/>
        <w:t>Acronymes</w:t>
      </w:r>
      <w:bookmarkEnd w:id="0"/>
    </w:p>
    <w:p w14:paraId="57A105D7" w14:textId="77777777" w:rsidR="00341A0D" w:rsidRPr="005669CE" w:rsidRDefault="00DB0A1C" w:rsidP="00760B03">
      <w:pPr>
        <w:pStyle w:val="BodyText"/>
        <w:ind w:left="0"/>
      </w:pPr>
      <w:r w:rsidRPr="005669CE">
        <w:rPr>
          <w:lang w:val="fr-FR"/>
        </w:rPr>
        <w:t xml:space="preserve">UMO : unité de mise en œuvre </w:t>
      </w:r>
    </w:p>
    <w:p w14:paraId="5769FE5E" w14:textId="77777777" w:rsidR="000E2E95" w:rsidRPr="005669CE" w:rsidRDefault="00DB0A1C" w:rsidP="00760B03">
      <w:pPr>
        <w:pStyle w:val="BodyText"/>
        <w:ind w:left="0"/>
      </w:pPr>
      <w:r w:rsidRPr="005669CE">
        <w:rPr>
          <w:lang w:val="fr-FR"/>
        </w:rPr>
        <w:t>KK : Kato-Katz</w:t>
      </w:r>
    </w:p>
    <w:p w14:paraId="18504041" w14:textId="77777777" w:rsidR="00341A0D" w:rsidRPr="005669CE" w:rsidRDefault="00DB0A1C" w:rsidP="00760B03">
      <w:pPr>
        <w:pStyle w:val="BodyText"/>
        <w:ind w:left="0"/>
      </w:pPr>
      <w:r w:rsidRPr="005669CE">
        <w:rPr>
          <w:lang w:val="fr-FR"/>
        </w:rPr>
        <w:t xml:space="preserve">AMM : administration massive de médicaments </w:t>
      </w:r>
    </w:p>
    <w:p w14:paraId="59BDCADD" w14:textId="77777777" w:rsidR="00341A0D" w:rsidRPr="005669CE" w:rsidRDefault="00DB0A1C" w:rsidP="00760B03">
      <w:pPr>
        <w:pStyle w:val="BodyText"/>
        <w:ind w:left="0"/>
      </w:pPr>
      <w:r w:rsidRPr="005669CE">
        <w:rPr>
          <w:lang w:val="fr-FR"/>
        </w:rPr>
        <w:t xml:space="preserve">CP : chimiothérapie préventive </w:t>
      </w:r>
    </w:p>
    <w:p w14:paraId="611C648A" w14:textId="77777777" w:rsidR="000E2E95" w:rsidRPr="005669CE" w:rsidRDefault="00DB0A1C" w:rsidP="00760B03">
      <w:pPr>
        <w:pStyle w:val="BodyText"/>
        <w:ind w:left="0"/>
      </w:pPr>
      <w:r w:rsidRPr="005669CE">
        <w:rPr>
          <w:lang w:val="fr-FR"/>
        </w:rPr>
        <w:t>UEP : unité primaire d’échantillonnage</w:t>
      </w:r>
    </w:p>
    <w:p w14:paraId="1949DD53" w14:textId="77777777" w:rsidR="00341A0D" w:rsidRPr="005669CE" w:rsidRDefault="00DB0A1C" w:rsidP="00760B03">
      <w:pPr>
        <w:pStyle w:val="BodyText"/>
        <w:ind w:left="0"/>
      </w:pPr>
      <w:r w:rsidRPr="005669CE">
        <w:rPr>
          <w:lang w:val="fr-FR"/>
        </w:rPr>
        <w:t xml:space="preserve">EAS : enfants d’âge scolaire </w:t>
      </w:r>
    </w:p>
    <w:p w14:paraId="41BC6ECD" w14:textId="77777777" w:rsidR="000E2E95" w:rsidRPr="005669CE" w:rsidRDefault="00DB0A1C" w:rsidP="00760B03">
      <w:pPr>
        <w:pStyle w:val="BodyText"/>
        <w:ind w:left="0"/>
      </w:pPr>
      <w:r w:rsidRPr="005669CE">
        <w:rPr>
          <w:lang w:val="fr-FR"/>
        </w:rPr>
        <w:t>SCH : schistosomiase</w:t>
      </w:r>
    </w:p>
    <w:p w14:paraId="74F38A68" w14:textId="77777777" w:rsidR="000E2E95" w:rsidRPr="005669CE" w:rsidRDefault="00DB0A1C" w:rsidP="00760B03">
      <w:pPr>
        <w:pStyle w:val="BodyText"/>
        <w:ind w:left="0"/>
      </w:pPr>
      <w:r w:rsidRPr="005669CE">
        <w:rPr>
          <w:lang w:val="fr-FR"/>
        </w:rPr>
        <w:t>FU : filtration de l’urine</w:t>
      </w:r>
    </w:p>
    <w:p w14:paraId="3E11B31D" w14:textId="77777777" w:rsidR="000E2E95" w:rsidRPr="005669CE" w:rsidRDefault="00DB0A1C" w:rsidP="00760B03">
      <w:pPr>
        <w:pStyle w:val="Heading1"/>
        <w:spacing w:before="244"/>
        <w:ind w:left="0"/>
        <w:jc w:val="both"/>
      </w:pPr>
      <w:bookmarkStart w:id="1" w:name="_bookmark1"/>
      <w:bookmarkStart w:id="2" w:name="_Toc181011858"/>
      <w:bookmarkEnd w:id="1"/>
      <w:r w:rsidRPr="005669CE">
        <w:rPr>
          <w:color w:val="1F3863"/>
          <w:spacing w:val="-2"/>
          <w:lang w:val="fr-FR"/>
        </w:rPr>
        <w:t>Glossaire</w:t>
      </w:r>
      <w:bookmarkEnd w:id="2"/>
    </w:p>
    <w:p w14:paraId="481138C6" w14:textId="77777777" w:rsidR="000E2E95" w:rsidRPr="005669CE" w:rsidRDefault="00DB0A1C" w:rsidP="00760B03">
      <w:pPr>
        <w:pStyle w:val="BodyText"/>
        <w:ind w:left="0"/>
      </w:pPr>
      <w:r w:rsidRPr="005669CE">
        <w:rPr>
          <w:b/>
          <w:bCs/>
          <w:lang w:val="fr-FR"/>
        </w:rPr>
        <w:t xml:space="preserve">Évaluation </w:t>
      </w:r>
      <w:proofErr w:type="gramStart"/>
      <w:r w:rsidRPr="005669CE">
        <w:rPr>
          <w:b/>
          <w:bCs/>
          <w:lang w:val="fr-FR"/>
        </w:rPr>
        <w:t xml:space="preserve">d’impact </w:t>
      </w:r>
      <w:r w:rsidRPr="005669CE">
        <w:rPr>
          <w:lang w:val="fr-FR"/>
        </w:rPr>
        <w:t> :</w:t>
      </w:r>
      <w:proofErr w:type="gramEnd"/>
      <w:r w:rsidRPr="005669CE">
        <w:rPr>
          <w:lang w:val="fr-FR"/>
        </w:rPr>
        <w:t xml:space="preserve"> enquête menée après au moins 5 à 6 cycles d’administration massive de médicaments afin de déterminer si la fréquence du traitement doit être modifiée ou maintenue au sein d’une unité de mise en œuvre.</w:t>
      </w:r>
    </w:p>
    <w:p w14:paraId="57BBEA95" w14:textId="77777777" w:rsidR="000E2E95" w:rsidRPr="005669CE" w:rsidRDefault="00DB0A1C" w:rsidP="00760B03">
      <w:pPr>
        <w:pStyle w:val="BodyText"/>
        <w:ind w:left="0"/>
      </w:pPr>
      <w:r w:rsidRPr="005669CE">
        <w:rPr>
          <w:b/>
          <w:bCs/>
          <w:lang w:val="fr-FR"/>
        </w:rPr>
        <w:t xml:space="preserve">Unité de mise en œuvre </w:t>
      </w:r>
      <w:r w:rsidRPr="005669CE">
        <w:rPr>
          <w:lang w:val="fr-FR"/>
        </w:rPr>
        <w:t>(UMO) : unité administrative d’un pays qui sert de base à la prise de décisions concernant la mise en œuvre de l’AMM ; correspond généralement à un district, un comté, un woreda, un cercle, une zone de santé, une commune, etc.</w:t>
      </w:r>
    </w:p>
    <w:p w14:paraId="5F232A1F" w14:textId="77777777" w:rsidR="000E2E95" w:rsidRPr="005669CE" w:rsidRDefault="00DB0A1C" w:rsidP="00760B03">
      <w:pPr>
        <w:pStyle w:val="BodyText"/>
        <w:ind w:left="0"/>
      </w:pPr>
      <w:r w:rsidRPr="005669CE">
        <w:rPr>
          <w:b/>
          <w:bCs/>
          <w:lang w:val="fr-FR"/>
        </w:rPr>
        <w:t xml:space="preserve">Évaluations </w:t>
      </w:r>
      <w:proofErr w:type="gramStart"/>
      <w:r w:rsidRPr="005669CE">
        <w:rPr>
          <w:b/>
          <w:bCs/>
          <w:lang w:val="fr-FR"/>
        </w:rPr>
        <w:t xml:space="preserve">pratiques </w:t>
      </w:r>
      <w:r w:rsidRPr="005669CE">
        <w:rPr>
          <w:lang w:val="fr-FR"/>
        </w:rPr>
        <w:t> :</w:t>
      </w:r>
      <w:proofErr w:type="gramEnd"/>
      <w:r w:rsidRPr="005669CE">
        <w:rPr>
          <w:lang w:val="fr-FR"/>
        </w:rPr>
        <w:t xml:space="preserve"> évaluations d’impact au niveau du district (UMO) destinées à déterminer si la prévalence de la schistosomiase dans le district est suffisamment homogène pour que la même décision de traitement soit appropriée pour tous les sous-districts (sous-UMO).</w:t>
      </w:r>
    </w:p>
    <w:p w14:paraId="6313D8DA" w14:textId="77777777" w:rsidR="000E2E95" w:rsidRPr="005669CE" w:rsidRDefault="00DB0A1C" w:rsidP="00760B03">
      <w:pPr>
        <w:pStyle w:val="BodyText"/>
        <w:ind w:left="0"/>
      </w:pPr>
      <w:r w:rsidRPr="005669CE">
        <w:rPr>
          <w:b/>
          <w:bCs/>
          <w:lang w:val="fr-FR"/>
        </w:rPr>
        <w:t>Évaluations de précision </w:t>
      </w:r>
      <w:r w:rsidRPr="005669CE">
        <w:rPr>
          <w:lang w:val="fr-FR"/>
        </w:rPr>
        <w:t>: évaluations d’impact au niveau du sous-district (sous-UMO) appropriées dans les zones où la prévalence est hétérogène autour du seuil de 10 % et conçues pour classer la prévalence dans le sous-district comme étant supérieure ou inférieure à 10 %.</w:t>
      </w:r>
    </w:p>
    <w:p w14:paraId="0B730B20" w14:textId="77777777" w:rsidR="000E2E95" w:rsidRPr="005669CE" w:rsidRDefault="00DB0A1C" w:rsidP="00760B03">
      <w:pPr>
        <w:pStyle w:val="BodyText"/>
        <w:ind w:left="0"/>
      </w:pPr>
      <w:r w:rsidRPr="005669CE">
        <w:rPr>
          <w:b/>
          <w:bCs/>
          <w:lang w:val="fr-FR"/>
        </w:rPr>
        <w:t>Unité d’échantillonnage primaire</w:t>
      </w:r>
      <w:r w:rsidRPr="005669CE">
        <w:rPr>
          <w:lang w:val="fr-FR"/>
        </w:rPr>
        <w:t> : unité géographique sélectionnée en premier lors de l’échantillonnage ; dans ce manuel, l’unité primaire d’échantillonnage sera soit une école, soit une communauté.</w:t>
      </w:r>
    </w:p>
    <w:p w14:paraId="577E7BA1" w14:textId="77777777" w:rsidR="000E2E95" w:rsidRPr="00284405" w:rsidRDefault="00DB0A1C" w:rsidP="00760B03">
      <w:pPr>
        <w:pStyle w:val="BodyText"/>
        <w:ind w:left="0"/>
        <w:rPr>
          <w:sz w:val="21"/>
          <w:szCs w:val="21"/>
        </w:rPr>
      </w:pPr>
      <w:r w:rsidRPr="005669CE">
        <w:rPr>
          <w:b/>
          <w:bCs/>
          <w:lang w:val="fr-FR"/>
        </w:rPr>
        <w:t>Échantillonnage raisonné</w:t>
      </w:r>
      <w:r w:rsidRPr="005669CE">
        <w:rPr>
          <w:lang w:val="fr-FR"/>
        </w:rPr>
        <w:t xml:space="preserve"> : </w:t>
      </w:r>
      <w:r w:rsidRPr="00284405">
        <w:rPr>
          <w:sz w:val="21"/>
          <w:szCs w:val="21"/>
          <w:lang w:val="fr-FR"/>
        </w:rPr>
        <w:t>technique d’échantillonnage non aléatoire par laquelle le planificateur de l’enquête sélectionne des sites pour atteindre un objectif d’enquête ; dans ce manuel, l’échantillonnage raisonné se réfère à la sélection de sites qui sont censés avoir la plus grande prévalence de schistosomiase ; dans ce manuel, l’échantillonnage raisonné est utilisé pour sélectionner des sites pour l’évaluation de précision.</w:t>
      </w:r>
    </w:p>
    <w:p w14:paraId="2A59A163" w14:textId="77777777" w:rsidR="000E2E95" w:rsidRPr="005669CE" w:rsidRDefault="00DB0A1C" w:rsidP="00760B03">
      <w:pPr>
        <w:pStyle w:val="BodyText"/>
        <w:ind w:left="0"/>
      </w:pPr>
      <w:r w:rsidRPr="005669CE">
        <w:rPr>
          <w:b/>
          <w:bCs/>
          <w:lang w:val="fr-FR"/>
        </w:rPr>
        <w:t>Sous-UMO </w:t>
      </w:r>
      <w:r w:rsidRPr="005669CE">
        <w:rPr>
          <w:lang w:val="fr-FR"/>
        </w:rPr>
        <w:t xml:space="preserve">: zone administrative plus petite au sein d’une unité de mise en œuvre ; correspond généralement à un sous-district, un quartier, un </w:t>
      </w:r>
      <w:proofErr w:type="spellStart"/>
      <w:r w:rsidRPr="005669CE">
        <w:rPr>
          <w:lang w:val="fr-FR"/>
        </w:rPr>
        <w:t>kebele</w:t>
      </w:r>
      <w:proofErr w:type="spellEnd"/>
      <w:r w:rsidRPr="005669CE">
        <w:rPr>
          <w:lang w:val="fr-FR"/>
        </w:rPr>
        <w:t>, une colline, une commune, un secteur, une aire de santé, etc.</w:t>
      </w:r>
    </w:p>
    <w:p w14:paraId="4B911AE5" w14:textId="77777777" w:rsidR="000E2E95" w:rsidRPr="005669CE" w:rsidRDefault="00DB0A1C" w:rsidP="00760B03">
      <w:pPr>
        <w:pStyle w:val="BodyText"/>
        <w:ind w:left="0"/>
      </w:pPr>
      <w:r w:rsidRPr="005669CE">
        <w:rPr>
          <w:b/>
          <w:bCs/>
          <w:lang w:val="fr-FR"/>
        </w:rPr>
        <w:t>Échantillonnage systématique</w:t>
      </w:r>
      <w:r w:rsidRPr="005669CE">
        <w:rPr>
          <w:lang w:val="fr-FR"/>
        </w:rPr>
        <w:t> : méthode d’échantillonnage aléatoire où un échantillon aléatoire, avec un intervalle périodique fixe, est sélectionné au sein d’une population plus large ; dans ce manuel, l’échantillonnage systématique est utilisé pour sélectionner les sites pour l’évaluation pratique et pour sélectionner les enfants pour l’évaluation pratique et l’évaluation de précision.</w:t>
      </w:r>
    </w:p>
    <w:p w14:paraId="18C1AB6B" w14:textId="77777777" w:rsidR="000E2E95" w:rsidRPr="005669CE" w:rsidRDefault="000E2E95" w:rsidP="00CE74C2">
      <w:pPr>
        <w:spacing w:line="259" w:lineRule="auto"/>
        <w:jc w:val="both"/>
        <w:sectPr w:rsidR="000E2E95" w:rsidRPr="005669CE" w:rsidSect="008622E9">
          <w:footerReference w:type="default" r:id="rId8"/>
          <w:pgSz w:w="12240" w:h="15840"/>
          <w:pgMar w:top="1440" w:right="1077" w:bottom="1440" w:left="1077" w:header="720" w:footer="720" w:gutter="0"/>
          <w:cols w:space="720"/>
        </w:sectPr>
      </w:pPr>
    </w:p>
    <w:p w14:paraId="58D9F4BF" w14:textId="77777777" w:rsidR="000E2E95" w:rsidRPr="005669CE" w:rsidRDefault="00DB0A1C" w:rsidP="00760B03">
      <w:pPr>
        <w:pStyle w:val="Heading1"/>
        <w:ind w:left="0"/>
        <w:jc w:val="both"/>
      </w:pPr>
      <w:bookmarkStart w:id="3" w:name="_bookmark2"/>
      <w:bookmarkStart w:id="4" w:name="_Toc181011859"/>
      <w:bookmarkEnd w:id="3"/>
      <w:r w:rsidRPr="005669CE">
        <w:rPr>
          <w:color w:val="1F3863"/>
          <w:spacing w:val="-2"/>
          <w:lang w:val="fr-FR"/>
        </w:rPr>
        <w:lastRenderedPageBreak/>
        <w:t>Contexte</w:t>
      </w:r>
      <w:bookmarkEnd w:id="4"/>
    </w:p>
    <w:p w14:paraId="3C8F2B2A" w14:textId="77777777" w:rsidR="000E2E95" w:rsidRPr="005669CE" w:rsidRDefault="00DB0A1C" w:rsidP="00760B03">
      <w:pPr>
        <w:pStyle w:val="BodyText"/>
        <w:ind w:left="0"/>
      </w:pPr>
      <w:r w:rsidRPr="005669CE">
        <w:rPr>
          <w:lang w:val="fr-FR"/>
        </w:rPr>
        <w:t xml:space="preserve">La schistosomiase (SCH), ou bilharziose, est une maladie parasitaire causée par une infection par le trématode schistosome (Colley </w:t>
      </w:r>
      <w:r w:rsidRPr="005669CE">
        <w:rPr>
          <w:i/>
          <w:iCs/>
          <w:lang w:val="fr-FR"/>
        </w:rPr>
        <w:t xml:space="preserve">et al., </w:t>
      </w:r>
      <w:r w:rsidRPr="005669CE">
        <w:rPr>
          <w:lang w:val="fr-FR"/>
        </w:rPr>
        <w:t>2014). La résolution 54.19 de l’Assemblée mondiale de la santé exhorte tous les États membres à traiter régulièrement au moins 75 % de tous les enfants d’âge scolaire (EAC) qui risquent de souffrir d’une morbidité due à la SCH (OMS 2012). La stratégie de lutte actuelle, recommandée par l’Organisation mondiale de la santé (OMS) pour la majeure partie de la région africaine, consiste à contrôler d’abord la morbidité causée par ces infections parasitaires, puis à les éliminer en tant que problème de santé publique par le biais d’une chimiothérapie préventive (CP) au praziquantel ciblant tous les groupes d’âge de plus de deux ans (OMS 2011 ; OMS 2013 ; OMS 2020). Le tableau 1 présente les recommandations de traitement pour la SCH stratifiée par catégorie de prévalence.</w:t>
      </w:r>
    </w:p>
    <w:p w14:paraId="5B77B3B0" w14:textId="77777777" w:rsidR="000E2E95" w:rsidRPr="005669CE" w:rsidRDefault="00DB0A1C" w:rsidP="00760B03">
      <w:pPr>
        <w:pStyle w:val="Heading5"/>
        <w:spacing w:before="157" w:after="240"/>
        <w:ind w:left="0"/>
        <w:jc w:val="both"/>
      </w:pPr>
      <w:r w:rsidRPr="005669CE">
        <w:rPr>
          <w:color w:val="44536A"/>
          <w:lang w:val="fr-FR"/>
        </w:rPr>
        <w:t>Tableau 1. Directives de l’OMS pour le traitement de la schistosomiase (OMS 2022)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98"/>
        <w:gridCol w:w="1356"/>
        <w:gridCol w:w="6922"/>
      </w:tblGrid>
      <w:tr w:rsidR="000C10E3" w14:paraId="3909384C" w14:textId="77777777" w:rsidTr="00760B03">
        <w:trPr>
          <w:trHeight w:val="398"/>
        </w:trPr>
        <w:tc>
          <w:tcPr>
            <w:tcW w:w="892" w:type="pct"/>
            <w:tcBorders>
              <w:bottom w:val="nil"/>
              <w:right w:val="nil"/>
            </w:tcBorders>
            <w:shd w:val="clear" w:color="auto" w:fill="5B9BD4"/>
          </w:tcPr>
          <w:p w14:paraId="1A354114" w14:textId="77777777" w:rsidR="000E2E95" w:rsidRPr="005669CE" w:rsidRDefault="00DB0A1C" w:rsidP="00CE74C2">
            <w:pPr>
              <w:pStyle w:val="TableParagraph"/>
              <w:spacing w:line="268" w:lineRule="exact"/>
              <w:ind w:left="107"/>
              <w:jc w:val="both"/>
              <w:rPr>
                <w:b/>
              </w:rPr>
            </w:pPr>
            <w:r w:rsidRPr="005669CE">
              <w:rPr>
                <w:b/>
                <w:bCs/>
                <w:color w:val="FFFFFF"/>
                <w:spacing w:val="-2"/>
                <w:lang w:val="fr-FR"/>
              </w:rPr>
              <w:t>Catégorie</w:t>
            </w:r>
          </w:p>
        </w:tc>
        <w:tc>
          <w:tcPr>
            <w:tcW w:w="673" w:type="pct"/>
            <w:tcBorders>
              <w:left w:val="nil"/>
              <w:bottom w:val="nil"/>
              <w:right w:val="nil"/>
            </w:tcBorders>
            <w:shd w:val="clear" w:color="auto" w:fill="5B9BD4"/>
          </w:tcPr>
          <w:p w14:paraId="080E6374" w14:textId="77777777" w:rsidR="000E2E95" w:rsidRPr="005669CE" w:rsidRDefault="00DB0A1C" w:rsidP="00CE74C2">
            <w:pPr>
              <w:pStyle w:val="TableParagraph"/>
              <w:spacing w:line="268" w:lineRule="exact"/>
              <w:ind w:left="113"/>
              <w:jc w:val="both"/>
              <w:rPr>
                <w:b/>
              </w:rPr>
            </w:pPr>
            <w:r w:rsidRPr="005669CE">
              <w:rPr>
                <w:b/>
                <w:bCs/>
                <w:color w:val="FFFFFF"/>
                <w:spacing w:val="-2"/>
                <w:lang w:val="fr-FR"/>
              </w:rPr>
              <w:t>Prévalence</w:t>
            </w:r>
          </w:p>
        </w:tc>
        <w:tc>
          <w:tcPr>
            <w:tcW w:w="3435" w:type="pct"/>
            <w:tcBorders>
              <w:left w:val="nil"/>
              <w:bottom w:val="nil"/>
              <w:right w:val="single" w:sz="4" w:space="0" w:color="5B9BD4"/>
            </w:tcBorders>
            <w:shd w:val="clear" w:color="auto" w:fill="5B9BD4"/>
          </w:tcPr>
          <w:p w14:paraId="2B09FBAF" w14:textId="77777777" w:rsidR="000E2E95" w:rsidRPr="005669CE" w:rsidRDefault="00DB0A1C" w:rsidP="00CE74C2">
            <w:pPr>
              <w:pStyle w:val="TableParagraph"/>
              <w:spacing w:line="268" w:lineRule="exact"/>
              <w:ind w:left="113"/>
              <w:jc w:val="both"/>
              <w:rPr>
                <w:b/>
              </w:rPr>
            </w:pPr>
            <w:r w:rsidRPr="005669CE">
              <w:rPr>
                <w:b/>
                <w:bCs/>
                <w:color w:val="FFFFFF"/>
                <w:spacing w:val="-2"/>
                <w:lang w:val="fr-FR"/>
              </w:rPr>
              <w:t>Action</w:t>
            </w:r>
          </w:p>
        </w:tc>
      </w:tr>
      <w:tr w:rsidR="000C10E3" w14:paraId="5E0A9A7F" w14:textId="77777777" w:rsidTr="00760B03">
        <w:trPr>
          <w:trHeight w:val="722"/>
        </w:trPr>
        <w:tc>
          <w:tcPr>
            <w:tcW w:w="892" w:type="pct"/>
            <w:tcBorders>
              <w:top w:val="nil"/>
              <w:bottom w:val="single" w:sz="4" w:space="0" w:color="9CC2E4"/>
              <w:right w:val="single" w:sz="4" w:space="0" w:color="9CC2E4"/>
            </w:tcBorders>
            <w:shd w:val="clear" w:color="auto" w:fill="DEEAF6"/>
          </w:tcPr>
          <w:p w14:paraId="31C19FA4" w14:textId="77777777" w:rsidR="000E2E95" w:rsidRPr="005669CE" w:rsidRDefault="00DB0A1C" w:rsidP="00CE74C2">
            <w:pPr>
              <w:pStyle w:val="TableParagraph"/>
              <w:spacing w:line="312" w:lineRule="auto"/>
              <w:ind w:left="107"/>
              <w:jc w:val="both"/>
            </w:pPr>
            <w:r w:rsidRPr="005669CE">
              <w:rPr>
                <w:lang w:val="fr-FR"/>
              </w:rPr>
              <w:t>Risque élevé à modéré</w:t>
            </w:r>
          </w:p>
        </w:tc>
        <w:tc>
          <w:tcPr>
            <w:tcW w:w="673" w:type="pct"/>
            <w:tcBorders>
              <w:top w:val="nil"/>
              <w:left w:val="single" w:sz="4" w:space="0" w:color="9CC2E4"/>
              <w:bottom w:val="single" w:sz="4" w:space="0" w:color="9CC2E4"/>
              <w:right w:val="single" w:sz="4" w:space="0" w:color="9CC2E4"/>
            </w:tcBorders>
            <w:shd w:val="clear" w:color="auto" w:fill="DEEAF6"/>
          </w:tcPr>
          <w:p w14:paraId="6C161CDC" w14:textId="77777777" w:rsidR="000E2E95" w:rsidRPr="005669CE" w:rsidRDefault="00DB0A1C" w:rsidP="00CE74C2">
            <w:pPr>
              <w:pStyle w:val="TableParagraph"/>
              <w:spacing w:line="268" w:lineRule="exact"/>
              <w:ind w:left="108"/>
              <w:jc w:val="both"/>
            </w:pPr>
            <w:r w:rsidRPr="005669CE">
              <w:rPr>
                <w:lang w:val="fr-FR"/>
              </w:rPr>
              <w:t>≥10 %</w:t>
            </w:r>
          </w:p>
        </w:tc>
        <w:tc>
          <w:tcPr>
            <w:tcW w:w="3435" w:type="pct"/>
            <w:tcBorders>
              <w:top w:val="nil"/>
              <w:left w:val="single" w:sz="4" w:space="0" w:color="9CC2E4"/>
              <w:bottom w:val="single" w:sz="4" w:space="0" w:color="9CC2E4"/>
              <w:right w:val="single" w:sz="4" w:space="0" w:color="9CC2E4"/>
            </w:tcBorders>
            <w:shd w:val="clear" w:color="auto" w:fill="DEEAF6"/>
          </w:tcPr>
          <w:p w14:paraId="275E0C4C" w14:textId="77777777" w:rsidR="000E2E95" w:rsidRPr="005669CE" w:rsidRDefault="00DB0A1C" w:rsidP="00CE74C2">
            <w:pPr>
              <w:pStyle w:val="TableParagraph"/>
              <w:spacing w:line="268" w:lineRule="exact"/>
              <w:ind w:left="108"/>
              <w:jc w:val="both"/>
            </w:pPr>
            <w:r w:rsidRPr="005669CE">
              <w:rPr>
                <w:lang w:val="fr-FR"/>
              </w:rPr>
              <w:t>Traiter tous les groupes d’âge à partir de 2 ans</w:t>
            </w:r>
          </w:p>
        </w:tc>
      </w:tr>
      <w:tr w:rsidR="000C10E3" w14:paraId="0F6B0507" w14:textId="77777777" w:rsidTr="00760B03">
        <w:trPr>
          <w:trHeight w:val="1747"/>
        </w:trPr>
        <w:tc>
          <w:tcPr>
            <w:tcW w:w="892" w:type="pct"/>
            <w:tcBorders>
              <w:top w:val="single" w:sz="4" w:space="0" w:color="9CC2E4"/>
              <w:right w:val="single" w:sz="4" w:space="0" w:color="9CC2E4"/>
            </w:tcBorders>
          </w:tcPr>
          <w:p w14:paraId="57D5E0A3" w14:textId="77777777" w:rsidR="000E2E95" w:rsidRPr="005669CE" w:rsidRDefault="00DB0A1C" w:rsidP="00CE74C2">
            <w:pPr>
              <w:pStyle w:val="TableParagraph"/>
              <w:spacing w:line="268" w:lineRule="exact"/>
              <w:ind w:left="107"/>
              <w:jc w:val="both"/>
            </w:pPr>
            <w:r w:rsidRPr="005669CE">
              <w:rPr>
                <w:lang w:val="fr-FR"/>
              </w:rPr>
              <w:t>Risque faible</w:t>
            </w:r>
          </w:p>
        </w:tc>
        <w:tc>
          <w:tcPr>
            <w:tcW w:w="673" w:type="pct"/>
            <w:tcBorders>
              <w:top w:val="single" w:sz="4" w:space="0" w:color="9CC2E4"/>
              <w:left w:val="single" w:sz="4" w:space="0" w:color="9CC2E4"/>
              <w:right w:val="single" w:sz="4" w:space="0" w:color="9CC2E4"/>
            </w:tcBorders>
          </w:tcPr>
          <w:p w14:paraId="4317B9A3" w14:textId="77777777" w:rsidR="000E2E95" w:rsidRPr="005669CE" w:rsidRDefault="00DB0A1C" w:rsidP="00CE74C2">
            <w:pPr>
              <w:pStyle w:val="TableParagraph"/>
              <w:spacing w:line="268" w:lineRule="exact"/>
              <w:ind w:left="108"/>
              <w:jc w:val="both"/>
            </w:pPr>
            <w:r w:rsidRPr="005669CE">
              <w:rPr>
                <w:lang w:val="fr-FR"/>
              </w:rPr>
              <w:t>&lt;10 %</w:t>
            </w:r>
          </w:p>
        </w:tc>
        <w:tc>
          <w:tcPr>
            <w:tcW w:w="3435" w:type="pct"/>
            <w:tcBorders>
              <w:top w:val="single" w:sz="4" w:space="0" w:color="9CC2E4"/>
              <w:left w:val="single" w:sz="4" w:space="0" w:color="9CC2E4"/>
              <w:right w:val="single" w:sz="4" w:space="0" w:color="9CC2E4"/>
            </w:tcBorders>
          </w:tcPr>
          <w:p w14:paraId="003975B0" w14:textId="7EFA9BED" w:rsidR="000E2E95" w:rsidRPr="00B120DF" w:rsidRDefault="00B120DF" w:rsidP="00B120DF">
            <w:pPr>
              <w:pStyle w:val="TableParagraph"/>
              <w:numPr>
                <w:ilvl w:val="0"/>
                <w:numId w:val="16"/>
              </w:numPr>
              <w:tabs>
                <w:tab w:val="left" w:pos="341"/>
              </w:tabs>
              <w:spacing w:line="312" w:lineRule="auto"/>
              <w:ind w:right="264" w:firstLine="0"/>
              <w:jc w:val="both"/>
              <w:rPr>
                <w:lang w:val="fr-FR"/>
              </w:rPr>
            </w:pPr>
            <w:proofErr w:type="gramStart"/>
            <w:r w:rsidRPr="00B120DF">
              <w:rPr>
                <w:lang w:val="fr-FR"/>
              </w:rPr>
              <w:t>lorsqu’il</w:t>
            </w:r>
            <w:proofErr w:type="gramEnd"/>
            <w:r w:rsidRPr="00B120DF">
              <w:rPr>
                <w:lang w:val="fr-FR"/>
              </w:rPr>
              <w:t xml:space="preserve"> y a eu un programme de CP régulière, poursuivre l’intervention à la même fréquence ou à une fréquence réduite en vue de l’interruption de la transmission </w:t>
            </w:r>
            <w:r w:rsidR="00DB0A1C" w:rsidRPr="00B120DF">
              <w:rPr>
                <w:lang w:val="fr-FR"/>
              </w:rPr>
              <w:t>; o</w:t>
            </w:r>
            <w:r w:rsidRPr="00B120DF">
              <w:rPr>
                <w:lang w:val="fr-FR"/>
              </w:rPr>
              <w:t>u</w:t>
            </w:r>
          </w:p>
          <w:p w14:paraId="2A9E212A" w14:textId="3BD12E24" w:rsidR="000E2E95" w:rsidRPr="005669CE" w:rsidRDefault="00B120DF" w:rsidP="00B120DF">
            <w:pPr>
              <w:pStyle w:val="TableParagraph"/>
              <w:spacing w:before="79"/>
              <w:ind w:left="108"/>
              <w:jc w:val="both"/>
            </w:pPr>
            <w:r w:rsidRPr="00B120DF">
              <w:rPr>
                <w:lang w:val="fr-FR"/>
              </w:rPr>
              <w:t>(ii</w:t>
            </w:r>
            <w:r>
              <w:rPr>
                <w:lang w:val="fr-FR"/>
              </w:rPr>
              <w:t xml:space="preserve">) </w:t>
            </w:r>
            <w:r w:rsidRPr="00B120DF">
              <w:rPr>
                <w:lang w:val="fr-FR"/>
              </w:rPr>
              <w:t>lorsqu’il n’y a pas eu de programme de CP régulière, utiliser une approche clinique d’essai et de traitement au lieu d’une CP</w:t>
            </w:r>
          </w:p>
        </w:tc>
      </w:tr>
    </w:tbl>
    <w:p w14:paraId="17AC9CEF" w14:textId="77777777" w:rsidR="000E2E95" w:rsidRPr="005669CE" w:rsidRDefault="00DB0A1C" w:rsidP="00760B03">
      <w:pPr>
        <w:pStyle w:val="BodyText"/>
        <w:ind w:left="0"/>
      </w:pPr>
      <w:r w:rsidRPr="005669CE">
        <w:rPr>
          <w:lang w:val="fr-FR"/>
        </w:rPr>
        <w:t xml:space="preserve">La majorité des pays d’Afrique subsaharienne où la SCH est endémique ont réussi à étendre la CP avec le praziquantel par le biais de plateformes scolaires ou communautaires dans les districts où la prévalence de l’infection par la schistosomiase est modérée ou élevée. En conséquence, le profil épidémiologique de l’infection par la schistosomiase devrait avoir considérablement changé et il est important de réévaluer la prévalence de la schistosomiase après le traitement afin d’éclairer les stratégies d’intervention ultérieures. Le projet spécial élargi pour l’élimination des MTN (ESPEN) recommande que les programmes SCH qui ont mené au moins cinq séries de CP efficaces (c’est-à-dire une couverture de </w:t>
      </w:r>
      <w:r w:rsidRPr="005669CE">
        <w:rPr>
          <w:u w:val="single"/>
          <w:lang w:val="fr-FR"/>
        </w:rPr>
        <w:t>&gt;</w:t>
      </w:r>
      <w:r w:rsidRPr="005669CE">
        <w:rPr>
          <w:lang w:val="fr-FR"/>
        </w:rPr>
        <w:t xml:space="preserve">75 %) effectuent des évaluations d’impact pour déterminer si la fréquence du traitement doit changer ou rester la même. Il est important de souligner que dans ce contexte </w:t>
      </w:r>
      <w:r w:rsidRPr="005669CE">
        <w:rPr>
          <w:b/>
          <w:bCs/>
          <w:color w:val="244061" w:themeColor="accent1" w:themeShade="80"/>
          <w:lang w:val="fr-FR"/>
        </w:rPr>
        <w:t xml:space="preserve">l’objectif d’une évaluation d’impact est de </w:t>
      </w:r>
      <w:r w:rsidRPr="005669CE">
        <w:rPr>
          <w:b/>
          <w:bCs/>
          <w:i/>
          <w:iCs/>
          <w:color w:val="244061" w:themeColor="accent1" w:themeShade="80"/>
          <w:lang w:val="fr-FR"/>
        </w:rPr>
        <w:t xml:space="preserve">classer </w:t>
      </w:r>
      <w:r w:rsidRPr="005669CE">
        <w:rPr>
          <w:b/>
          <w:bCs/>
          <w:color w:val="244061" w:themeColor="accent1" w:themeShade="80"/>
          <w:lang w:val="fr-FR"/>
        </w:rPr>
        <w:t>la prévalence de la SCH dans une unité, par rapport au seuil cible de 10 % de prévalence</w:t>
      </w:r>
      <w:r w:rsidRPr="005669CE">
        <w:rPr>
          <w:lang w:val="fr-FR"/>
        </w:rPr>
        <w:t> ; l’objectif n’est pas de mesurer un changement dans la prévalence.</w:t>
      </w:r>
    </w:p>
    <w:p w14:paraId="540D49ED" w14:textId="77777777" w:rsidR="000E2E95" w:rsidRPr="005669CE" w:rsidRDefault="00DB0A1C" w:rsidP="00760B03">
      <w:pPr>
        <w:pStyle w:val="BodyText"/>
        <w:ind w:left="0"/>
      </w:pPr>
      <w:r w:rsidRPr="005669CE">
        <w:rPr>
          <w:lang w:val="fr-FR"/>
        </w:rPr>
        <w:t xml:space="preserve">Dans de nombreux contextes, les programmes SCH ont toujours utilisé les districts administratifs ou sanitaires comme unité de mise en œuvre. Étant donné la nature focale de la transmission de la SCH, il existe aujourd’hui un désir de passer de la mise en œuvre de la CP au niveau du district à celui du sous-district, de sorte que le traitement soit mieux ciblé sur les seules personnes qui en ont besoin, minimisant ainsi le surtraitement et le </w:t>
      </w:r>
      <w:proofErr w:type="spellStart"/>
      <w:r w:rsidRPr="005669CE">
        <w:rPr>
          <w:lang w:val="fr-FR"/>
        </w:rPr>
        <w:t>sous-traitement</w:t>
      </w:r>
      <w:proofErr w:type="spellEnd"/>
      <w:r w:rsidRPr="005669CE">
        <w:rPr>
          <w:lang w:val="fr-FR"/>
        </w:rPr>
        <w:t>. Par conséquent, les études d’impact doivent permettre de classer efficacement et précisément les sous-districts endémiques, tout en étant réalisables pour les programmes SCH. Il s’agit notamment de veiller à ce que la planification, la mise en œuvre, l’analyse et l’interprétation soient adaptées aux capacités et compétences techniques existantes.</w:t>
      </w:r>
    </w:p>
    <w:p w14:paraId="1CD9DF6B" w14:textId="77777777" w:rsidR="000E2E95" w:rsidRPr="005669CE" w:rsidRDefault="00DB0A1C" w:rsidP="00760B03">
      <w:pPr>
        <w:pStyle w:val="BodyText"/>
        <w:ind w:left="0"/>
      </w:pPr>
      <w:r w:rsidRPr="005669CE">
        <w:rPr>
          <w:lang w:val="fr-FR"/>
        </w:rPr>
        <w:lastRenderedPageBreak/>
        <w:t xml:space="preserve">Pour combler cette lacune du programme, une étude multi pays </w:t>
      </w:r>
      <w:proofErr w:type="gramStart"/>
      <w:r w:rsidRPr="005669CE">
        <w:rPr>
          <w:lang w:val="fr-FR"/>
        </w:rPr>
        <w:t xml:space="preserve">intitulée </w:t>
      </w:r>
      <w:r w:rsidRPr="005669CE">
        <w:rPr>
          <w:i/>
          <w:iCs/>
          <w:lang w:val="fr-FR"/>
        </w:rPr>
        <w:t>,</w:t>
      </w:r>
      <w:proofErr w:type="gramEnd"/>
      <w:r w:rsidRPr="005669CE">
        <w:rPr>
          <w:i/>
          <w:iCs/>
          <w:lang w:val="fr-FR"/>
        </w:rPr>
        <w:t xml:space="preserve"> « Étude de suréchantillonnage de la schistosomiase » </w:t>
      </w:r>
      <w:r w:rsidRPr="005669CE">
        <w:rPr>
          <w:lang w:val="fr-FR"/>
        </w:rPr>
        <w:t xml:space="preserve">(SOS) a été menée de 2021 à 2022. L’objectif de l’étude SOS était d’identifier la méthode d’échantillonnage optimale pour mener des évaluations d’impact qui soient réalisables pour les programmes nationaux, rentables et qui aboutissent à des classifications précises des sous-districts en matière de traitement. En mai 2023, les équipes chargées de l’étude SOS, les responsables des programmes SCH régionaux, les experts internationaux sur la SCH, les ONG partenaires, les donateurs et l’OMS se sont réunis à Nairobi, au Kenya, pour examiner les résultats de l’étude SOS. Les responsables du programme SCH et les experts de la région africaine ont examiné les différentes stratégies d’échantillonnage de l’enquête et se sont finalement mis d’accord sur une stratégie unique d’évaluation d’impact, </w:t>
      </w:r>
      <w:proofErr w:type="gramStart"/>
      <w:r w:rsidRPr="005669CE">
        <w:rPr>
          <w:lang w:val="fr-FR"/>
        </w:rPr>
        <w:t xml:space="preserve">appelée </w:t>
      </w:r>
      <w:r w:rsidRPr="005669CE">
        <w:rPr>
          <w:i/>
          <w:iCs/>
          <w:lang w:val="fr-FR"/>
        </w:rPr>
        <w:t> «</w:t>
      </w:r>
      <w:proofErr w:type="gramEnd"/>
      <w:r w:rsidRPr="005669CE">
        <w:rPr>
          <w:i/>
          <w:iCs/>
          <w:lang w:val="fr-FR"/>
        </w:rPr>
        <w:t> </w:t>
      </w:r>
      <w:proofErr w:type="spellStart"/>
      <w:r w:rsidRPr="005669CE">
        <w:rPr>
          <w:i/>
          <w:iCs/>
          <w:lang w:val="fr-FR"/>
        </w:rPr>
        <w:t>Schistosomiasis</w:t>
      </w:r>
      <w:proofErr w:type="spellEnd"/>
      <w:r w:rsidRPr="005669CE">
        <w:rPr>
          <w:i/>
          <w:iCs/>
          <w:lang w:val="fr-FR"/>
        </w:rPr>
        <w:t xml:space="preserve"> </w:t>
      </w:r>
      <w:proofErr w:type="spellStart"/>
      <w:r w:rsidRPr="005669CE">
        <w:rPr>
          <w:i/>
          <w:iCs/>
          <w:lang w:val="fr-FR"/>
        </w:rPr>
        <w:t>Practical</w:t>
      </w:r>
      <w:proofErr w:type="spellEnd"/>
      <w:r w:rsidRPr="005669CE">
        <w:rPr>
          <w:i/>
          <w:iCs/>
          <w:lang w:val="fr-FR"/>
        </w:rPr>
        <w:t xml:space="preserve"> and </w:t>
      </w:r>
      <w:proofErr w:type="spellStart"/>
      <w:r w:rsidRPr="005669CE">
        <w:rPr>
          <w:i/>
          <w:iCs/>
          <w:lang w:val="fr-FR"/>
        </w:rPr>
        <w:t>Precision</w:t>
      </w:r>
      <w:proofErr w:type="spellEnd"/>
      <w:r w:rsidRPr="005669CE">
        <w:rPr>
          <w:i/>
          <w:iCs/>
          <w:lang w:val="fr-FR"/>
        </w:rPr>
        <w:t xml:space="preserve"> </w:t>
      </w:r>
      <w:proofErr w:type="spellStart"/>
      <w:r w:rsidRPr="005669CE">
        <w:rPr>
          <w:i/>
          <w:iCs/>
          <w:lang w:val="fr-FR"/>
        </w:rPr>
        <w:t>Assessments</w:t>
      </w:r>
      <w:proofErr w:type="spellEnd"/>
      <w:r w:rsidRPr="005669CE">
        <w:rPr>
          <w:i/>
          <w:iCs/>
          <w:lang w:val="fr-FR"/>
        </w:rPr>
        <w:t> »</w:t>
      </w:r>
      <w:r w:rsidRPr="005669CE">
        <w:rPr>
          <w:lang w:val="fr-FR"/>
        </w:rPr>
        <w:t xml:space="preserve"> (SPPA), et il a été convenu qu’elle serait pilotée dans un certain nombre de pays.</w:t>
      </w:r>
    </w:p>
    <w:p w14:paraId="6D5CC8EF" w14:textId="77777777" w:rsidR="000E2E95" w:rsidRPr="005669CE" w:rsidRDefault="00DB0A1C" w:rsidP="00760B03">
      <w:pPr>
        <w:pStyle w:val="BodyText"/>
        <w:ind w:left="0"/>
      </w:pPr>
      <w:r w:rsidRPr="005669CE">
        <w:rPr>
          <w:lang w:val="fr-FR"/>
        </w:rPr>
        <w:t>Ce manuel décrit l’approche résultante des évaluations pratiques et de précision et comprend une discussion des concepts sous-jacents, des facteurs à prendre en compte pour déterminer quelle approche est appropriée et comment interpréter les données collectées. Il s’accompagne d’un modèle de protocole à soumettre à un examen éthique.</w:t>
      </w:r>
    </w:p>
    <w:p w14:paraId="1B957A74" w14:textId="77777777" w:rsidR="000E2E95" w:rsidRPr="005669CE" w:rsidRDefault="000E2E95" w:rsidP="00341A0D">
      <w:pPr>
        <w:pStyle w:val="BodyText"/>
      </w:pPr>
    </w:p>
    <w:p w14:paraId="508770E8" w14:textId="77777777" w:rsidR="000E2E95" w:rsidRPr="005669CE" w:rsidRDefault="00DB0A1C" w:rsidP="00760B03">
      <w:pPr>
        <w:pStyle w:val="Heading1"/>
        <w:spacing w:before="0"/>
        <w:ind w:left="0"/>
        <w:jc w:val="both"/>
      </w:pPr>
      <w:bookmarkStart w:id="5" w:name="_bookmark3"/>
      <w:bookmarkStart w:id="6" w:name="_Toc181011860"/>
      <w:bookmarkEnd w:id="5"/>
      <w:r w:rsidRPr="005669CE">
        <w:rPr>
          <w:color w:val="1F3863"/>
          <w:lang w:val="fr-FR"/>
        </w:rPr>
        <w:t>Justification d’une approche en deux étapes</w:t>
      </w:r>
      <w:bookmarkEnd w:id="6"/>
    </w:p>
    <w:p w14:paraId="77035A08" w14:textId="77777777" w:rsidR="000E2E95" w:rsidRPr="005669CE" w:rsidRDefault="00DB0A1C" w:rsidP="00760B03">
      <w:pPr>
        <w:pStyle w:val="BodyText"/>
        <w:ind w:left="0"/>
      </w:pPr>
      <w:r w:rsidRPr="005669CE">
        <w:rPr>
          <w:lang w:val="fr-FR"/>
        </w:rPr>
        <w:t xml:space="preserve">La plupart des programmes SCH sont en train de passer de la mise en œuvre d’interventions de contrôle de la SCH au niveau de l’UMO à celui de la sous-UMO afin d’améliorer le ciblage et de minimiser le </w:t>
      </w:r>
      <w:proofErr w:type="spellStart"/>
      <w:r w:rsidRPr="005669CE">
        <w:rPr>
          <w:lang w:val="fr-FR"/>
        </w:rPr>
        <w:t>sous-traitement</w:t>
      </w:r>
      <w:proofErr w:type="spellEnd"/>
      <w:r w:rsidRPr="005669CE">
        <w:rPr>
          <w:lang w:val="fr-FR"/>
        </w:rPr>
        <w:t xml:space="preserve"> et le surtraitement. Si l’on suit les méthodes conventionnelles, il faudrait mener une enquête dans chaque sous-unité afin de déterminer la stratégie de traitement appropriée pour cette sous-UMO sur la base de la prévalence observée. Dans les contextes où il existe de nombreuses sous-UMO par UMO ou de nombreuses UMO, cela devient rapidement irréalisable d’un point de vue logistique et financier. Les résultats de l’étude SOS et d’autres enquêtes d’évaluation granulaire (de précision) ont mis en évidence le fait que, dans de nombreux contextes, la grande majorité des communautés dans des UMO entières sont soit toutes au-dessus, soit toutes au-dessous du seuil de décision de 10 % de prévalence. Dans de telles situations, toutes les sous-UMO de l’UMO devraient recevoir la même classification de traitement. Dans d’autres contextes où la transmission est plus focale et où il y a plus de variations autour du seuil de prévalence de 10 %, des classifications de traitement différentes doivent être attribuées aux sous-UMO au sein de l’UMO. Ce manuel décrit une approche de collecte de données en deux étapes qui tient compte explicitement de ces différents scénarios, tout en garantissant la collecte de données suffisantes pour classer efficacement toutes les sous-UMO en vue d’une décision de traitement.</w:t>
      </w:r>
    </w:p>
    <w:p w14:paraId="56A1D85F" w14:textId="77777777" w:rsidR="000E2E95" w:rsidRPr="005669CE" w:rsidRDefault="000E2E95" w:rsidP="00341A0D">
      <w:pPr>
        <w:pStyle w:val="BodyText"/>
      </w:pPr>
    </w:p>
    <w:p w14:paraId="19F68AE8" w14:textId="77777777" w:rsidR="000E2E95" w:rsidRPr="005669CE" w:rsidRDefault="00DB0A1C" w:rsidP="00760B03">
      <w:pPr>
        <w:pStyle w:val="Heading1"/>
        <w:ind w:left="0"/>
        <w:jc w:val="both"/>
      </w:pPr>
      <w:bookmarkStart w:id="7" w:name="_Toc181011861"/>
      <w:r w:rsidRPr="005669CE">
        <w:rPr>
          <w:color w:val="1F3863"/>
          <w:lang w:val="fr-FR"/>
        </w:rPr>
        <w:t>Présentation de la méthodologie SPPA</w:t>
      </w:r>
      <w:bookmarkEnd w:id="7"/>
    </w:p>
    <w:p w14:paraId="223BAA51" w14:textId="77777777" w:rsidR="000E2E95" w:rsidRPr="005669CE" w:rsidRDefault="00DB0A1C" w:rsidP="00760B03">
      <w:pPr>
        <w:pStyle w:val="BodyText"/>
        <w:ind w:left="0"/>
        <w:sectPr w:rsidR="000E2E95" w:rsidRPr="005669CE" w:rsidSect="008622E9">
          <w:pgSz w:w="12240" w:h="15840"/>
          <w:pgMar w:top="1440" w:right="1077" w:bottom="1440" w:left="1077" w:header="720" w:footer="720" w:gutter="0"/>
          <w:cols w:space="720"/>
        </w:sectPr>
      </w:pPr>
      <w:r w:rsidRPr="005669CE">
        <w:rPr>
          <w:lang w:val="fr-FR"/>
        </w:rPr>
        <w:t xml:space="preserve">La méthodologie SPPA décrite dans le présent manuel constitue une approche valable pour la réalisation d’évaluations d’impact des programmes pour la SCH. L’approche </w:t>
      </w:r>
      <w:r w:rsidRPr="005669CE">
        <w:rPr>
          <w:b/>
          <w:bCs/>
          <w:lang w:val="fr-FR"/>
        </w:rPr>
        <w:t>SPPA n’est pas considérée comme une recherche ; les résultats générés peuvent être utilisés par le ministère de la Santé qui dirige les évaluations afin de prendre des décisions</w:t>
      </w:r>
      <w:r w:rsidRPr="005669CE">
        <w:rPr>
          <w:lang w:val="fr-FR"/>
        </w:rPr>
        <w:t xml:space="preserve"> sur la fréquence et la zone géographique ciblées par le traitement contre la SCH et d’autres interventions. Le manuel décrit </w:t>
      </w:r>
      <w:r w:rsidRPr="005669CE">
        <w:rPr>
          <w:i/>
          <w:iCs/>
          <w:lang w:val="fr-FR"/>
        </w:rPr>
        <w:t xml:space="preserve">comment </w:t>
      </w:r>
      <w:r w:rsidRPr="005669CE">
        <w:rPr>
          <w:lang w:val="fr-FR"/>
        </w:rPr>
        <w:t xml:space="preserve">réaliser des évaluations pratiques et de précision et comprend également des questionnaires facultatifs conçus pour évaluer la faisabilité de cette approche. Ce protocole est actuellement mis en œuvre dans plusieurs pays d’Afrique subsaharienne à titre de projet pilote, dans le but de déterminer si les orientations décrites ici sont claires, réalisables et rentables pour les </w:t>
      </w:r>
      <w:r w:rsidRPr="005669CE">
        <w:rPr>
          <w:lang w:val="fr-FR"/>
        </w:rPr>
        <w:lastRenderedPageBreak/>
        <w:t>programmes SCH. Par la suite, après toute adaptation basée sur ce projet pilote, l’approche de l’évaluation pratique et de précision et les outils de soutien seront mis à jour et rendus accessibles à tous les programmes nationaux d’évaluation d’impact par l’OMS/ESPEN et seront disponibles sur la page Web de l’</w:t>
      </w:r>
      <w:hyperlink r:id="rId9" w:history="1">
        <w:r w:rsidR="00C146BF" w:rsidRPr="005669CE">
          <w:rPr>
            <w:rStyle w:val="Hyperlink"/>
            <w:lang w:val="fr-FR"/>
          </w:rPr>
          <w:t>ESPEN sur l’outil d’évaluation pratique et de précision de la schistosomiase (SPPA)</w:t>
        </w:r>
      </w:hyperlink>
      <w:r w:rsidRPr="005669CE">
        <w:rPr>
          <w:lang w:val="fr-FR"/>
        </w:rPr>
        <w:t xml:space="preserve">. </w:t>
      </w:r>
    </w:p>
    <w:p w14:paraId="6601BC91" w14:textId="77777777" w:rsidR="00760B03" w:rsidRPr="005669CE" w:rsidRDefault="00760B03" w:rsidP="00760B03">
      <w:pPr>
        <w:pStyle w:val="Heading2"/>
        <w:ind w:left="0"/>
      </w:pPr>
      <w:bookmarkStart w:id="8" w:name="_bookmark4"/>
      <w:bookmarkEnd w:id="8"/>
    </w:p>
    <w:p w14:paraId="6BABEA07" w14:textId="77777777" w:rsidR="00760B03" w:rsidRPr="005669CE" w:rsidRDefault="00760B03" w:rsidP="00760B03">
      <w:pPr>
        <w:pStyle w:val="Heading2"/>
        <w:ind w:left="0"/>
      </w:pPr>
    </w:p>
    <w:p w14:paraId="3D3E0933" w14:textId="77777777" w:rsidR="00760B03" w:rsidRPr="005669CE" w:rsidRDefault="00760B03" w:rsidP="00760B03">
      <w:pPr>
        <w:pStyle w:val="Heading2"/>
        <w:ind w:left="0"/>
      </w:pPr>
    </w:p>
    <w:p w14:paraId="0FF3D0B5" w14:textId="77777777" w:rsidR="00760B03" w:rsidRPr="005669CE" w:rsidRDefault="00760B03" w:rsidP="00760B03">
      <w:pPr>
        <w:pStyle w:val="Heading2"/>
        <w:ind w:left="0"/>
      </w:pPr>
    </w:p>
    <w:p w14:paraId="179A67CE" w14:textId="77777777" w:rsidR="000E2E95" w:rsidRPr="005669CE" w:rsidRDefault="00DB0A1C" w:rsidP="00760B03">
      <w:pPr>
        <w:pStyle w:val="Heading2"/>
        <w:ind w:left="0"/>
      </w:pPr>
      <w:bookmarkStart w:id="9" w:name="_Toc181011862"/>
      <w:r w:rsidRPr="005669CE">
        <w:rPr>
          <w:lang w:val="fr-FR"/>
        </w:rPr>
        <w:t>Objectif</w:t>
      </w:r>
      <w:bookmarkEnd w:id="9"/>
    </w:p>
    <w:p w14:paraId="198CF838" w14:textId="77777777" w:rsidR="000E2E95" w:rsidRPr="005669CE" w:rsidRDefault="00DB0A1C" w:rsidP="00760B03">
      <w:pPr>
        <w:spacing w:before="120" w:line="259" w:lineRule="auto"/>
        <w:ind w:right="296"/>
        <w:jc w:val="both"/>
        <w:rPr>
          <w:b/>
          <w:color w:val="244061" w:themeColor="accent1" w:themeShade="80"/>
        </w:rPr>
      </w:pPr>
      <w:r w:rsidRPr="005669CE">
        <w:rPr>
          <w:b/>
          <w:bCs/>
          <w:color w:val="244061" w:themeColor="accent1" w:themeShade="80"/>
          <w:lang w:val="fr-FR"/>
        </w:rPr>
        <w:t>L’objectif de la stratégie d’évaluation SPPA est de classer les sous-UMO (par exemple, les sous-districts, les services, les aires de santé) comme étant au-dessus ou au-dessous du seuil de prévalence de 10 % de la SCH, afin de soutenir les décisions de traitement de CP.</w:t>
      </w:r>
    </w:p>
    <w:p w14:paraId="501B4087" w14:textId="77777777" w:rsidR="000E2E95" w:rsidRPr="005669CE" w:rsidRDefault="000E2E95" w:rsidP="00341A0D">
      <w:pPr>
        <w:pStyle w:val="BodyText"/>
      </w:pPr>
    </w:p>
    <w:p w14:paraId="4087601F" w14:textId="77777777" w:rsidR="000E2E95" w:rsidRPr="005669CE" w:rsidRDefault="00DB0A1C" w:rsidP="00760B03">
      <w:pPr>
        <w:pStyle w:val="Heading2"/>
        <w:ind w:left="0"/>
      </w:pPr>
      <w:bookmarkStart w:id="10" w:name="_bookmark5"/>
      <w:bookmarkStart w:id="11" w:name="_Toc181011863"/>
      <w:bookmarkEnd w:id="10"/>
      <w:r w:rsidRPr="005669CE">
        <w:rPr>
          <w:lang w:val="fr-FR"/>
        </w:rPr>
        <w:t>Présentation de l’approche</w:t>
      </w:r>
      <w:bookmarkEnd w:id="11"/>
    </w:p>
    <w:p w14:paraId="247F6060" w14:textId="77777777" w:rsidR="000E2E95" w:rsidRPr="005669CE" w:rsidRDefault="00DB0A1C" w:rsidP="00760B03">
      <w:pPr>
        <w:pStyle w:val="BodyText"/>
        <w:ind w:left="0"/>
      </w:pPr>
      <w:r w:rsidRPr="005669CE">
        <w:rPr>
          <w:lang w:val="fr-FR"/>
        </w:rPr>
        <w:t xml:space="preserve">Les évaluations pratiques et de précision constituent une approche en deux étapes visant à conduire une évaluation d’impact pour la schistosomiase. Cette approche en deux étapes est conçue pour classer avec précision et efficacité la prévalence de la SCH parmi les enfants d’âge scolaire au niveau du sous-district (sous-UMO) comme </w:t>
      </w:r>
      <w:r w:rsidR="00E95787" w:rsidRPr="005669CE">
        <w:rPr>
          <w:rFonts w:ascii="Avenir Next LT Pro" w:hAnsi="Avenir Next LT Pro"/>
          <w:lang w:val="fr-FR"/>
        </w:rPr>
        <w:t>≥</w:t>
      </w:r>
      <w:r w:rsidRPr="005669CE">
        <w:rPr>
          <w:lang w:val="fr-FR"/>
        </w:rPr>
        <w:t>10 % ou &lt;10 % afin de prendre les décisions appropriées en matière de traitement.</w:t>
      </w:r>
    </w:p>
    <w:p w14:paraId="45A117EB" w14:textId="77777777" w:rsidR="000E2E95" w:rsidRPr="005669CE" w:rsidRDefault="00DB0A1C" w:rsidP="00760B03">
      <w:pPr>
        <w:pStyle w:val="BodyText"/>
        <w:ind w:left="0"/>
      </w:pPr>
      <w:r w:rsidRPr="005669CE">
        <w:rPr>
          <w:b/>
          <w:bCs/>
          <w:i/>
          <w:iCs/>
          <w:lang w:val="fr-FR"/>
        </w:rPr>
        <w:t xml:space="preserve">Note terminologique : </w:t>
      </w:r>
      <w:r w:rsidRPr="005669CE">
        <w:rPr>
          <w:lang w:val="fr-FR"/>
        </w:rPr>
        <w:t xml:space="preserve">Dans ce manuel, les petites unités de mise en œuvre de la SCH (sous-UMO) sont appelées </w:t>
      </w:r>
      <w:r w:rsidRPr="005669CE">
        <w:rPr>
          <w:b/>
          <w:bCs/>
          <w:lang w:val="fr-FR"/>
        </w:rPr>
        <w:t>sous-districts</w:t>
      </w:r>
      <w:r w:rsidRPr="005669CE">
        <w:rPr>
          <w:lang w:val="fr-FR"/>
        </w:rPr>
        <w:t>. Selon le contexte, il peut s’agir de services, de sous-districts, d’aires de santé ou d’autres petites unités administratives imbriquées dans les unités de mise en œuvre (UMO) plus grandes utilisées par d’autres programmes de lutte contre les MTN.</w:t>
      </w:r>
    </w:p>
    <w:p w14:paraId="501F726E" w14:textId="131C1C5E" w:rsidR="000E2E95" w:rsidRPr="005669CE" w:rsidRDefault="00DB0A1C" w:rsidP="00760B03">
      <w:pPr>
        <w:pStyle w:val="BodyText"/>
        <w:ind w:left="0"/>
      </w:pPr>
      <w:r w:rsidRPr="37C44320">
        <w:rPr>
          <w:lang w:val="fr-FR"/>
        </w:rPr>
        <w:t xml:space="preserve">Les </w:t>
      </w:r>
      <w:r w:rsidRPr="37C44320">
        <w:rPr>
          <w:b/>
          <w:bCs/>
          <w:lang w:val="fr-FR"/>
        </w:rPr>
        <w:t xml:space="preserve">évaluations pratiques </w:t>
      </w:r>
      <w:r w:rsidRPr="37C44320">
        <w:rPr>
          <w:lang w:val="fr-FR"/>
        </w:rPr>
        <w:t xml:space="preserve">constituent la première étape de l’échantillonnage et sont menées au niveau du district (UMO) en tant que test d’hétérogénéité. L’objectif des évaluations pratiques est de déterminer si la prévalence de la SCH dans un district est suffisamment similaire (ou </w:t>
      </w:r>
      <w:r w:rsidRPr="37C44320">
        <w:rPr>
          <w:i/>
          <w:iCs/>
          <w:lang w:val="fr-FR"/>
        </w:rPr>
        <w:t>homogène</w:t>
      </w:r>
      <w:r w:rsidRPr="37C44320">
        <w:rPr>
          <w:lang w:val="fr-FR"/>
        </w:rPr>
        <w:t xml:space="preserve">) pour que la </w:t>
      </w:r>
      <w:r w:rsidRPr="37C44320">
        <w:rPr>
          <w:u w:val="single"/>
          <w:lang w:val="fr-FR"/>
        </w:rPr>
        <w:t>même</w:t>
      </w:r>
      <w:r w:rsidRPr="37C44320">
        <w:rPr>
          <w:lang w:val="fr-FR"/>
        </w:rPr>
        <w:t xml:space="preserve"> décision de traitement soit appropriée pour tous les sous-districts du district. L’évaluation pratique est une enquête ciblant </w:t>
      </w:r>
      <w:r w:rsidRPr="37C44320">
        <w:rPr>
          <w:b/>
          <w:bCs/>
          <w:lang w:val="fr-FR"/>
        </w:rPr>
        <w:t xml:space="preserve">15 sites x </w:t>
      </w:r>
      <w:r w:rsidR="5E3DB1EC" w:rsidRPr="37C44320">
        <w:rPr>
          <w:b/>
          <w:bCs/>
          <w:lang w:val="fr-FR"/>
        </w:rPr>
        <w:t>2</w:t>
      </w:r>
      <w:r w:rsidRPr="37C44320">
        <w:rPr>
          <w:b/>
          <w:bCs/>
          <w:lang w:val="fr-FR"/>
        </w:rPr>
        <w:t>0 enfants d’âge scolaire</w:t>
      </w:r>
      <w:r w:rsidRPr="37C44320">
        <w:rPr>
          <w:lang w:val="fr-FR"/>
        </w:rPr>
        <w:t xml:space="preserve">, ce qui donne une taille d’échantillon totale de </w:t>
      </w:r>
      <w:r w:rsidR="664376F4" w:rsidRPr="37C44320">
        <w:rPr>
          <w:lang w:val="fr-FR"/>
        </w:rPr>
        <w:t>30</w:t>
      </w:r>
      <w:r w:rsidRPr="37C44320">
        <w:rPr>
          <w:b/>
          <w:bCs/>
          <w:lang w:val="fr-FR"/>
        </w:rPr>
        <w:t>0 enfants d’âge scolaire par district</w:t>
      </w:r>
      <w:r w:rsidRPr="37C44320">
        <w:rPr>
          <w:lang w:val="fr-FR"/>
        </w:rPr>
        <w:t>.</w:t>
      </w:r>
    </w:p>
    <w:p w14:paraId="6175BA8E" w14:textId="77777777" w:rsidR="000E2E95" w:rsidRPr="005669CE" w:rsidRDefault="00DB0A1C" w:rsidP="00760B03">
      <w:pPr>
        <w:pStyle w:val="BodyText"/>
        <w:ind w:left="0"/>
      </w:pPr>
      <w:r w:rsidRPr="005669CE">
        <w:rPr>
          <w:b/>
          <w:bCs/>
          <w:lang w:val="fr-FR"/>
        </w:rPr>
        <w:t>Les évaluations de précision</w:t>
      </w:r>
      <w:r w:rsidRPr="005669CE">
        <w:rPr>
          <w:lang w:val="fr-FR"/>
        </w:rPr>
        <w:t xml:space="preserve"> sont appropriées pour prendre des décisions concernant le traitement de la SCH au niveau du sous-district dans les districts où la prévalence de la SCH est hétérogène autour du seuil de 10 %. En règle générale, les évaluations de précision sont effectuées à la suite d’une évaluation pratique dont les résultats indiquent que la SCH est trop hétérogène pour que la même décision de traitement soit appliquée dans tous les sous-districts. L’évaluation de précision est une enquête ciblant </w:t>
      </w:r>
      <w:r w:rsidRPr="005669CE">
        <w:rPr>
          <w:b/>
          <w:bCs/>
          <w:lang w:val="fr-FR"/>
        </w:rPr>
        <w:t xml:space="preserve">4 sites </w:t>
      </w:r>
      <w:r w:rsidRPr="005669CE">
        <w:rPr>
          <w:lang w:val="fr-FR"/>
        </w:rPr>
        <w:t xml:space="preserve">x </w:t>
      </w:r>
      <w:r w:rsidRPr="005669CE">
        <w:rPr>
          <w:b/>
          <w:bCs/>
          <w:lang w:val="fr-FR"/>
        </w:rPr>
        <w:t xml:space="preserve">20 enfants d’âge </w:t>
      </w:r>
      <w:proofErr w:type="gramStart"/>
      <w:r w:rsidRPr="005669CE">
        <w:rPr>
          <w:b/>
          <w:bCs/>
          <w:lang w:val="fr-FR"/>
        </w:rPr>
        <w:t xml:space="preserve">scolaire </w:t>
      </w:r>
      <w:r w:rsidRPr="005669CE">
        <w:rPr>
          <w:lang w:val="fr-FR"/>
        </w:rPr>
        <w:t>,</w:t>
      </w:r>
      <w:proofErr w:type="gramEnd"/>
      <w:r w:rsidRPr="005669CE">
        <w:rPr>
          <w:lang w:val="fr-FR"/>
        </w:rPr>
        <w:t xml:space="preserve"> ce qui donne une taille d’échantillon totale de </w:t>
      </w:r>
      <w:r w:rsidRPr="005669CE">
        <w:rPr>
          <w:b/>
          <w:bCs/>
          <w:lang w:val="fr-FR"/>
        </w:rPr>
        <w:t>80 enfants d’âge scolaire par sous-district</w:t>
      </w:r>
      <w:r w:rsidRPr="005669CE">
        <w:rPr>
          <w:lang w:val="fr-FR"/>
        </w:rPr>
        <w:t>.</w:t>
      </w:r>
    </w:p>
    <w:p w14:paraId="7C82B632" w14:textId="77777777" w:rsidR="000E2E95" w:rsidRPr="005669CE" w:rsidRDefault="00DB0A1C" w:rsidP="00760B03">
      <w:pPr>
        <w:spacing w:before="159" w:line="259" w:lineRule="auto"/>
        <w:ind w:right="359"/>
        <w:jc w:val="both"/>
        <w:rPr>
          <w:b/>
        </w:rPr>
      </w:pPr>
      <w:r w:rsidRPr="005669CE">
        <w:rPr>
          <w:b/>
          <w:bCs/>
          <w:lang w:val="fr-FR"/>
        </w:rPr>
        <w:t>Il est recommandé que ces enquêtes aient lieu au moins 6 mois après la dernière série de chimiothérapies préventives.</w:t>
      </w:r>
    </w:p>
    <w:p w14:paraId="3D94897C" w14:textId="77777777" w:rsidR="000E2E95" w:rsidRPr="005669CE" w:rsidRDefault="000E2E95" w:rsidP="00341A0D">
      <w:pPr>
        <w:pStyle w:val="BodyText"/>
      </w:pPr>
    </w:p>
    <w:p w14:paraId="066B347D" w14:textId="77777777" w:rsidR="000E2E95" w:rsidRPr="005669CE" w:rsidRDefault="00DB0A1C" w:rsidP="00760B03">
      <w:pPr>
        <w:pStyle w:val="Heading2"/>
        <w:ind w:left="0"/>
      </w:pPr>
      <w:bookmarkStart w:id="12" w:name="_bookmark6"/>
      <w:bookmarkStart w:id="13" w:name="_Toc181011864"/>
      <w:bookmarkEnd w:id="12"/>
      <w:r w:rsidRPr="005669CE">
        <w:rPr>
          <w:lang w:val="fr-FR"/>
        </w:rPr>
        <w:lastRenderedPageBreak/>
        <w:t>Déterminer le type d’évaluation approprié</w:t>
      </w:r>
      <w:bookmarkEnd w:id="13"/>
    </w:p>
    <w:p w14:paraId="59C95C1A" w14:textId="77777777" w:rsidR="000E2E95" w:rsidRPr="005669CE" w:rsidRDefault="00DB0A1C" w:rsidP="00760B03">
      <w:pPr>
        <w:pStyle w:val="BodyText"/>
        <w:ind w:left="0"/>
      </w:pPr>
      <w:r w:rsidRPr="005669CE">
        <w:rPr>
          <w:lang w:val="fr-FR"/>
        </w:rPr>
        <w:t>Pour tout district éligible à une évaluation d’impact, soit au moins cinq cycles effectifs (≥75 % de couverture par CP pour les enfants d’âge scolaire), une première étape importante consiste à déterminer s’il est approprié de commencer par une évaluation pratique au niveau du district ou de procéder directement à une évaluation de précision dans chacun des sous-districts. La réponse à cette question doit être déterminée par le programme national, sur la base d’un examen minutieux des données du programme et des connaissances locales. La figure 1 a pour but d’aider à saisir certaines des questions et des raisonnements que les programmes nationaux peuvent souhaiter utiliser pour prendre cette décision.</w:t>
      </w:r>
    </w:p>
    <w:p w14:paraId="1CDF303B" w14:textId="77777777" w:rsidR="000E2E95" w:rsidRPr="005669CE" w:rsidRDefault="000E2E95" w:rsidP="00CE74C2">
      <w:pPr>
        <w:spacing w:line="259" w:lineRule="auto"/>
        <w:jc w:val="both"/>
        <w:sectPr w:rsidR="000E2E95" w:rsidRPr="005669CE" w:rsidSect="008622E9">
          <w:type w:val="continuous"/>
          <w:pgSz w:w="12240" w:h="15840"/>
          <w:pgMar w:top="1440" w:right="1077" w:bottom="1440" w:left="1077" w:header="720" w:footer="720" w:gutter="0"/>
          <w:cols w:space="720"/>
        </w:sectPr>
      </w:pPr>
    </w:p>
    <w:p w14:paraId="394A18A8" w14:textId="013DA5E9" w:rsidR="001F3437" w:rsidRPr="005669CE" w:rsidRDefault="001F3437" w:rsidP="00CE74C2">
      <w:pPr>
        <w:jc w:val="both"/>
        <w:rPr>
          <w:b/>
          <w:bCs/>
          <w:color w:val="44536A"/>
        </w:rPr>
      </w:pPr>
    </w:p>
    <w:p w14:paraId="6AA0BAF9" w14:textId="77777777" w:rsidR="00F16DAC" w:rsidRPr="005669CE" w:rsidRDefault="00DB0A1C" w:rsidP="00CE74C2">
      <w:pPr>
        <w:pStyle w:val="Heading5"/>
        <w:spacing w:before="39"/>
        <w:ind w:left="100" w:right="359"/>
        <w:jc w:val="both"/>
        <w:rPr>
          <w:color w:val="44536A"/>
        </w:rPr>
      </w:pPr>
      <w:r w:rsidRPr="005669CE">
        <w:rPr>
          <w:noProof/>
        </w:rPr>
        <w:drawing>
          <wp:inline distT="0" distB="0" distL="0" distR="0" wp14:anchorId="365E809E" wp14:editId="659D7D7E">
            <wp:extent cx="6288638" cy="4562475"/>
            <wp:effectExtent l="0" t="0" r="0" b="0"/>
            <wp:docPr id="37937113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371139" name="Graphic 1"/>
                    <pic:cNvPicPr/>
                  </pic:nvPicPr>
                  <pic:blipFill>
                    <a:blip r:embed="rId10">
                      <a:extLst>
                        <a:ext uri="{28A0092B-C50C-407E-A947-70E740481C1C}">
                          <a14:useLocalDpi xmlns:a14="http://schemas.microsoft.com/office/drawing/2010/main" val="0"/>
                        </a:ext>
                      </a:extLst>
                    </a:blip>
                    <a:srcRect l="1121" r="1121"/>
                    <a:stretch>
                      <a:fillRect/>
                    </a:stretch>
                  </pic:blipFill>
                  <pic:spPr bwMode="auto">
                    <a:xfrm>
                      <a:off x="0" y="0"/>
                      <a:ext cx="6288638" cy="4562475"/>
                    </a:xfrm>
                    <a:prstGeom prst="rect">
                      <a:avLst/>
                    </a:prstGeom>
                    <a:ln>
                      <a:noFill/>
                    </a:ln>
                    <a:extLst>
                      <a:ext uri="{53640926-AAD7-44D8-BBD7-CCE9431645EC}">
                        <a14:shadowObscured xmlns:a14="http://schemas.microsoft.com/office/drawing/2010/main"/>
                      </a:ext>
                    </a:extLst>
                  </pic:spPr>
                </pic:pic>
              </a:graphicData>
            </a:graphic>
          </wp:inline>
        </w:drawing>
      </w:r>
    </w:p>
    <w:p w14:paraId="18088AA7" w14:textId="77777777" w:rsidR="000E2E95" w:rsidRPr="005669CE" w:rsidRDefault="00DB0A1C" w:rsidP="00760B03">
      <w:pPr>
        <w:pStyle w:val="Heading5"/>
        <w:spacing w:before="39"/>
        <w:ind w:left="0" w:right="359"/>
        <w:jc w:val="both"/>
        <w:rPr>
          <w:color w:val="44536A"/>
        </w:rPr>
      </w:pPr>
      <w:r w:rsidRPr="005669CE">
        <w:rPr>
          <w:color w:val="44536A"/>
          <w:lang w:val="fr-FR"/>
        </w:rPr>
        <w:t>Figure 1 Questions permettant aux programmes de déterminer s’il convient de commencer par une évaluation pratique ou de passer directement à une évaluation de précision pour un district donné.</w:t>
      </w:r>
    </w:p>
    <w:p w14:paraId="1ABBE36A" w14:textId="77777777" w:rsidR="000E2E95" w:rsidRPr="005669CE" w:rsidRDefault="000E2E95" w:rsidP="00CE74C2">
      <w:pPr>
        <w:jc w:val="both"/>
        <w:sectPr w:rsidR="000E2E95" w:rsidRPr="005669CE" w:rsidSect="008622E9">
          <w:type w:val="continuous"/>
          <w:pgSz w:w="12240" w:h="15840"/>
          <w:pgMar w:top="1440" w:right="1077" w:bottom="1440" w:left="1077" w:header="720" w:footer="720" w:gutter="0"/>
          <w:cols w:space="720"/>
        </w:sectPr>
      </w:pPr>
    </w:p>
    <w:p w14:paraId="4624D652" w14:textId="77777777" w:rsidR="000E2E95" w:rsidRPr="005669CE" w:rsidRDefault="00DB0A1C" w:rsidP="00760B03">
      <w:pPr>
        <w:pStyle w:val="BodyText"/>
        <w:ind w:left="0"/>
      </w:pPr>
      <w:r w:rsidRPr="005669CE">
        <w:rPr>
          <w:lang w:val="fr-FR"/>
        </w:rPr>
        <w:t>Les sections suivantes du manuel décrivent séparément la méthodologie d’échantillonnage pour l’évaluation pratique et l’évaluation de précision. Le lecteur notera que les évaluations pratiques et de précision utilisent la même unité primaire d’échantillonnage, la même population cible et les mêmes tests de diagnostic. Les différences entre ces deux approches résident dans la zone d’enquête (district ou sous-district) et la méthodologie de sélection de l’unité primaire d’échantillonnage, le nombre d’enfants d’âge scolaire échantillonnés par site et l’interprétation des résultats.</w:t>
      </w:r>
    </w:p>
    <w:p w14:paraId="0E3ED3FF" w14:textId="77777777" w:rsidR="000E2E95" w:rsidRPr="005669CE" w:rsidRDefault="000E2E95" w:rsidP="00CE74C2">
      <w:pPr>
        <w:spacing w:line="259" w:lineRule="auto"/>
        <w:jc w:val="both"/>
        <w:sectPr w:rsidR="000E2E95" w:rsidRPr="005669CE" w:rsidSect="008622E9">
          <w:type w:val="continuous"/>
          <w:pgSz w:w="12240" w:h="15840"/>
          <w:pgMar w:top="1440" w:right="1077" w:bottom="1440" w:left="1077" w:header="720" w:footer="720" w:gutter="0"/>
          <w:cols w:space="720"/>
        </w:sectPr>
      </w:pPr>
    </w:p>
    <w:p w14:paraId="1B5786B3" w14:textId="1FADA7F7" w:rsidR="000E2E95" w:rsidRPr="005669CE" w:rsidRDefault="46F8F8AF" w:rsidP="00341A0D">
      <w:pPr>
        <w:pStyle w:val="BodyText"/>
      </w:pPr>
      <w:r>
        <w:rPr>
          <w:noProof/>
        </w:rPr>
        <w:lastRenderedPageBreak/>
        <w:drawing>
          <wp:inline distT="0" distB="0" distL="0" distR="0" wp14:anchorId="17E75555" wp14:editId="38D8A99E">
            <wp:extent cx="8705851" cy="4867274"/>
            <wp:effectExtent l="0" t="0" r="0" b="0"/>
            <wp:docPr id="1322411875" name="Picture 1322411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8705851" cy="4867274"/>
                    </a:xfrm>
                    <a:prstGeom prst="rect">
                      <a:avLst/>
                    </a:prstGeom>
                  </pic:spPr>
                </pic:pic>
              </a:graphicData>
            </a:graphic>
          </wp:inline>
        </w:drawing>
      </w:r>
    </w:p>
    <w:p w14:paraId="07D74930" w14:textId="77777777" w:rsidR="00AF0E1B" w:rsidRPr="005669CE" w:rsidRDefault="00AF0E1B" w:rsidP="00CE74C2">
      <w:pPr>
        <w:spacing w:before="1"/>
        <w:ind w:left="340"/>
        <w:jc w:val="both"/>
        <w:rPr>
          <w:b/>
          <w:color w:val="44536A"/>
        </w:rPr>
      </w:pPr>
    </w:p>
    <w:p w14:paraId="691F66D7" w14:textId="77777777" w:rsidR="000E2E95" w:rsidRPr="005669CE" w:rsidRDefault="00DB0A1C" w:rsidP="00CE74C2">
      <w:pPr>
        <w:spacing w:before="1"/>
        <w:ind w:left="340"/>
        <w:jc w:val="both"/>
        <w:rPr>
          <w:b/>
        </w:rPr>
      </w:pPr>
      <w:r w:rsidRPr="005669CE">
        <w:rPr>
          <w:b/>
          <w:bCs/>
          <w:color w:val="44536A"/>
          <w:lang w:val="fr-FR"/>
        </w:rPr>
        <w:t>Figure 2 Arbre de décision pour l’approche de l’évaluation pratique et de précision</w:t>
      </w:r>
    </w:p>
    <w:p w14:paraId="74B92CFB" w14:textId="77777777" w:rsidR="000E2E95" w:rsidRPr="005669CE" w:rsidRDefault="000E2E95" w:rsidP="00CE74C2">
      <w:pPr>
        <w:jc w:val="both"/>
        <w:sectPr w:rsidR="000E2E95" w:rsidRPr="005669CE" w:rsidSect="008622E9">
          <w:type w:val="continuous"/>
          <w:pgSz w:w="15840" w:h="12240" w:orient="landscape"/>
          <w:pgMar w:top="1440" w:right="1077" w:bottom="1440" w:left="1077" w:header="720" w:footer="720" w:gutter="0"/>
          <w:cols w:space="720"/>
        </w:sectPr>
      </w:pPr>
    </w:p>
    <w:p w14:paraId="7EFF8214" w14:textId="77777777" w:rsidR="000E2E95" w:rsidRPr="005669CE" w:rsidRDefault="00DB0A1C" w:rsidP="00760B03">
      <w:pPr>
        <w:pStyle w:val="Heading1"/>
        <w:ind w:left="0"/>
        <w:jc w:val="both"/>
      </w:pPr>
      <w:bookmarkStart w:id="14" w:name="_bookmark7"/>
      <w:bookmarkStart w:id="15" w:name="_Toc181011865"/>
      <w:bookmarkEnd w:id="14"/>
      <w:r w:rsidRPr="005669CE">
        <w:rPr>
          <w:color w:val="1F3863"/>
          <w:lang w:val="fr-FR"/>
        </w:rPr>
        <w:lastRenderedPageBreak/>
        <w:t>Méthodologie d’évaluation : échantillonnage</w:t>
      </w:r>
      <w:bookmarkEnd w:id="15"/>
    </w:p>
    <w:p w14:paraId="2B2E44DC" w14:textId="77777777" w:rsidR="000E2E95" w:rsidRPr="005669CE" w:rsidRDefault="00DB0A1C" w:rsidP="00705583">
      <w:pPr>
        <w:pStyle w:val="Heading2"/>
        <w:spacing w:before="159"/>
        <w:ind w:left="0"/>
      </w:pPr>
      <w:bookmarkStart w:id="16" w:name="_bookmark8"/>
      <w:bookmarkStart w:id="17" w:name="_Toc181011866"/>
      <w:bookmarkEnd w:id="16"/>
      <w:r w:rsidRPr="005669CE">
        <w:rPr>
          <w:lang w:val="fr-FR"/>
        </w:rPr>
        <w:t xml:space="preserve">Échantillonnage pour les </w:t>
      </w:r>
      <w:r w:rsidRPr="005669CE">
        <w:rPr>
          <w:u w:val="single"/>
          <w:lang w:val="fr-FR"/>
        </w:rPr>
        <w:t>évaluations pratiques</w:t>
      </w:r>
      <w:bookmarkEnd w:id="17"/>
    </w:p>
    <w:p w14:paraId="29146EAF" w14:textId="77777777" w:rsidR="000E2E95" w:rsidRPr="005669CE" w:rsidRDefault="00DB0A1C" w:rsidP="00760B03">
      <w:pPr>
        <w:pStyle w:val="Heading3"/>
        <w:spacing w:before="240"/>
        <w:ind w:left="0"/>
        <w:jc w:val="both"/>
      </w:pPr>
      <w:r w:rsidRPr="005669CE">
        <w:rPr>
          <w:color w:val="4471C4"/>
          <w:lang w:val="fr-FR"/>
        </w:rPr>
        <w:t>Zone d’enquête</w:t>
      </w:r>
    </w:p>
    <w:p w14:paraId="0FE70359" w14:textId="77777777" w:rsidR="000E2E95" w:rsidRPr="005669CE" w:rsidRDefault="00DB0A1C" w:rsidP="00760B03">
      <w:pPr>
        <w:pStyle w:val="BodyText"/>
        <w:ind w:left="0"/>
      </w:pPr>
      <w:r w:rsidRPr="005669CE">
        <w:rPr>
          <w:lang w:val="fr-FR"/>
        </w:rPr>
        <w:t>L’évaluation pratique doit être réalisée au niveau du district (UMO).</w:t>
      </w:r>
    </w:p>
    <w:p w14:paraId="2C7823A8" w14:textId="77777777" w:rsidR="000E2E95" w:rsidRPr="005669CE" w:rsidRDefault="00DB0A1C" w:rsidP="00760B03">
      <w:pPr>
        <w:pStyle w:val="Heading3"/>
        <w:spacing w:before="262"/>
        <w:ind w:left="0"/>
        <w:jc w:val="both"/>
      </w:pPr>
      <w:r w:rsidRPr="005669CE">
        <w:rPr>
          <w:color w:val="4471C4"/>
          <w:lang w:val="fr-FR"/>
        </w:rPr>
        <w:t>Unité d’échantillonnage primaire</w:t>
      </w:r>
    </w:p>
    <w:p w14:paraId="17FCB1F6" w14:textId="77777777" w:rsidR="000E2E95" w:rsidRPr="005669CE" w:rsidRDefault="00DB0A1C" w:rsidP="00760B03">
      <w:pPr>
        <w:pStyle w:val="BodyText"/>
        <w:ind w:left="0"/>
      </w:pPr>
      <w:r w:rsidRPr="005669CE">
        <w:rPr>
          <w:lang w:val="fr-FR"/>
        </w:rPr>
        <w:t>L’unité primaire d’échantillonnage (UEP) préférée est l’école ; cependant, les responsables de la mise en œuvre peuvent déterminer que la communauté est une UEP plus appropriée si : (i) l’école n’est pas ouverte au moment de l’enquête, (ii) le programme craint qu’une faible fréquentation scolaire ne fausse les résultats de l’enquête, ou (iii) il existe un désir de collecter des échantillons concomitants d’adultes. Les écoles ou les communautés sont des choix valables en tant qu’UEP. Pour l’échantillonnage, il est nécessaire de disposer d’informations sur les sous-districts pour toutes les UEP.</w:t>
      </w:r>
    </w:p>
    <w:p w14:paraId="5443DA3F" w14:textId="77777777" w:rsidR="000E2E95" w:rsidRPr="005669CE" w:rsidRDefault="00DB0A1C" w:rsidP="00760B03">
      <w:pPr>
        <w:pStyle w:val="Heading3"/>
        <w:spacing w:before="240"/>
        <w:ind w:left="0"/>
        <w:jc w:val="both"/>
      </w:pPr>
      <w:r w:rsidRPr="005669CE">
        <w:rPr>
          <w:color w:val="4471C4"/>
          <w:lang w:val="fr-FR"/>
        </w:rPr>
        <w:t>Sélection des UEP à inclure</w:t>
      </w:r>
    </w:p>
    <w:p w14:paraId="4A187F59" w14:textId="77777777" w:rsidR="000E2E95" w:rsidRPr="005669CE" w:rsidRDefault="00DB0A1C" w:rsidP="00760B03">
      <w:pPr>
        <w:pStyle w:val="BodyText"/>
        <w:ind w:left="0"/>
      </w:pPr>
      <w:r w:rsidRPr="005669CE">
        <w:rPr>
          <w:lang w:val="fr-FR"/>
        </w:rPr>
        <w:t>Les évaluations pratiques nécessitent un échantillonnage systématique dans 15 UEP. Un processus d’échantillonnage en deux étapes est nécessaire pour sélectionner ces 15 UEP. Pour ce faire, il est nécessaire d’obtenir une liste de toutes les UEP classées par sous-district. Il n’est pas nécessaire d’inclure la population de chaque UEP.</w:t>
      </w:r>
    </w:p>
    <w:p w14:paraId="28DA58B8" w14:textId="77777777" w:rsidR="000E2E95" w:rsidRPr="005669CE" w:rsidRDefault="00DB0A1C" w:rsidP="00BD4C6A">
      <w:pPr>
        <w:pStyle w:val="BodyText"/>
        <w:ind w:left="0"/>
      </w:pPr>
      <w:r w:rsidRPr="005669CE">
        <w:rPr>
          <w:b/>
          <w:bCs/>
          <w:lang w:val="fr-FR"/>
        </w:rPr>
        <w:t xml:space="preserve">Etape 1 : Déterminer le nombre d’UEP par sous-district. </w:t>
      </w:r>
      <w:r w:rsidRPr="005669CE">
        <w:rPr>
          <w:lang w:val="fr-FR"/>
        </w:rPr>
        <w:t xml:space="preserve">La première étape consiste à procéder à un échantillonnage systématique des sous-districts afin de s’assurer que chaque sous-district a des chances égales d’être sélectionné ; cela permet également d’assurer une bonne représentation géographique dans le district et les sous-districts. Pour aider les programmes à déterminer le nombre d’UEP par sous-district, un outil Excel simple a été créé, appelé </w:t>
      </w:r>
      <w:r w:rsidRPr="00A71E3C">
        <w:rPr>
          <w:color w:val="1154CC"/>
          <w:lang w:val="fr-FR"/>
        </w:rPr>
        <w:t>« </w:t>
      </w:r>
      <w:r w:rsidRPr="00A71E3C">
        <w:rPr>
          <w:b/>
          <w:bCs/>
          <w:i/>
          <w:iCs/>
          <w:color w:val="1154CC"/>
          <w:lang w:val="fr-FR"/>
        </w:rPr>
        <w:t>Outil d’évaluation pratique et d’échantillonnage systématique</w:t>
      </w:r>
      <w:r w:rsidRPr="00A71E3C">
        <w:rPr>
          <w:color w:val="1154CC"/>
          <w:lang w:val="fr-FR"/>
        </w:rPr>
        <w:t> »</w:t>
      </w:r>
      <w:r w:rsidRPr="005669CE">
        <w:rPr>
          <w:lang w:val="fr-FR"/>
        </w:rPr>
        <w:t>, qui peut être téléchargé à partir de la page Web de l’</w:t>
      </w:r>
      <w:hyperlink r:id="rId12" w:history="1">
        <w:r w:rsidR="00EB2A91" w:rsidRPr="005669CE">
          <w:rPr>
            <w:rStyle w:val="Hyperlink"/>
            <w:lang w:val="fr-FR"/>
          </w:rPr>
          <w:t>ESPEN sur l’outil d’évaluation pratique et de précision de la schistosomiase (SPPA)</w:t>
        </w:r>
      </w:hyperlink>
      <w:r w:rsidRPr="005669CE">
        <w:rPr>
          <w:lang w:val="fr-FR"/>
        </w:rPr>
        <w:t>. Il suffit d’entrer le nombre total de sous-districts dans un district donné et leurs noms pour que l’outil indique le nombre d’UEP qui devraient être sélectionnées dans chaque sous-district.</w:t>
      </w:r>
    </w:p>
    <w:p w14:paraId="5B8A4716" w14:textId="77777777" w:rsidR="000E2E95" w:rsidRPr="005669CE" w:rsidRDefault="00DB0A1C" w:rsidP="00760B03">
      <w:pPr>
        <w:pStyle w:val="BodyText"/>
        <w:ind w:left="0"/>
      </w:pPr>
      <w:r w:rsidRPr="005669CE">
        <w:rPr>
          <w:b/>
          <w:bCs/>
          <w:lang w:val="fr-FR"/>
        </w:rPr>
        <w:t xml:space="preserve">Etape 2 : Sélection aléatoire des UEP. </w:t>
      </w:r>
      <w:r w:rsidRPr="005669CE">
        <w:rPr>
          <w:lang w:val="fr-FR"/>
        </w:rPr>
        <w:t xml:space="preserve">Pour chaque sous-district ayant </w:t>
      </w:r>
      <w:r w:rsidR="002820BD" w:rsidRPr="005669CE">
        <w:rPr>
          <w:rFonts w:ascii="Avenir Next LT Pro" w:hAnsi="Avenir Next LT Pro"/>
          <w:lang w:val="fr-FR"/>
        </w:rPr>
        <w:t>≥</w:t>
      </w:r>
      <w:r w:rsidRPr="005669CE">
        <w:rPr>
          <w:lang w:val="fr-FR"/>
        </w:rPr>
        <w:t>1 UEP sélectionnée à l’étape 1, il est nécessaire de sélectionner aléatoirement ce nombre d’UEP. Cela peut se faire en numérotant chaque UEP dans le sous-district et en tirant un nombre de manière aléatoire. Ce processus doit être répété pour tous les sous-districts sélectionnés à l’étape 1 jusqu’à ce que les 15 UEP aient été identifiées.</w:t>
      </w:r>
    </w:p>
    <w:p w14:paraId="62D5F254" w14:textId="77777777" w:rsidR="000E2E95" w:rsidRPr="005669CE" w:rsidRDefault="00DB0A1C" w:rsidP="00760B03">
      <w:pPr>
        <w:pStyle w:val="Heading3"/>
        <w:spacing w:before="260"/>
        <w:ind w:left="0"/>
        <w:jc w:val="both"/>
      </w:pPr>
      <w:r w:rsidRPr="005669CE">
        <w:rPr>
          <w:color w:val="4471C4"/>
          <w:lang w:val="fr-FR"/>
        </w:rPr>
        <w:t>Population cible</w:t>
      </w:r>
    </w:p>
    <w:p w14:paraId="44BE6A77" w14:textId="27C88531" w:rsidR="000E2E95" w:rsidRPr="005669CE" w:rsidRDefault="00DB0A1C" w:rsidP="00760B03">
      <w:pPr>
        <w:spacing w:before="39"/>
        <w:jc w:val="both"/>
      </w:pPr>
      <w:r w:rsidRPr="3CF6FDCA">
        <w:rPr>
          <w:lang w:val="fr-FR"/>
        </w:rPr>
        <w:t xml:space="preserve">La population cible des évaluations pratiques est constituée des </w:t>
      </w:r>
      <w:r w:rsidRPr="3CF6FDCA">
        <w:rPr>
          <w:b/>
          <w:bCs/>
          <w:lang w:val="fr-FR"/>
        </w:rPr>
        <w:t xml:space="preserve">enfants plus âgés d’âge </w:t>
      </w:r>
      <w:r w:rsidR="719FB2EC" w:rsidRPr="3CF6FDCA">
        <w:rPr>
          <w:b/>
          <w:bCs/>
          <w:lang w:val="fr-FR"/>
        </w:rPr>
        <w:t>scolaire, âgés</w:t>
      </w:r>
      <w:r w:rsidRPr="3CF6FDCA">
        <w:rPr>
          <w:b/>
          <w:bCs/>
          <w:u w:val="single"/>
          <w:lang w:val="fr-FR"/>
        </w:rPr>
        <w:t xml:space="preserve"> de 10 à 14 ans</w:t>
      </w:r>
      <w:r w:rsidRPr="3CF6FDCA">
        <w:rPr>
          <w:lang w:val="fr-FR"/>
        </w:rPr>
        <w:t>.</w:t>
      </w:r>
    </w:p>
    <w:p w14:paraId="58072AED" w14:textId="77777777" w:rsidR="000E2E95" w:rsidRPr="005669CE" w:rsidRDefault="00DB0A1C" w:rsidP="00760B03">
      <w:pPr>
        <w:pStyle w:val="Heading3"/>
        <w:spacing w:before="263"/>
        <w:ind w:left="0"/>
        <w:jc w:val="both"/>
      </w:pPr>
      <w:r w:rsidRPr="005669CE">
        <w:rPr>
          <w:color w:val="4471C4"/>
          <w:lang w:val="fr-FR"/>
        </w:rPr>
        <w:t>Taille Echantillon</w:t>
      </w:r>
    </w:p>
    <w:p w14:paraId="26069BD1" w14:textId="67F40032" w:rsidR="000E2E95" w:rsidRPr="005669CE" w:rsidRDefault="00DB0A1C" w:rsidP="00760B03">
      <w:pPr>
        <w:pStyle w:val="BodyText"/>
        <w:tabs>
          <w:tab w:val="left" w:pos="9639"/>
          <w:tab w:val="left" w:pos="9781"/>
        </w:tabs>
        <w:ind w:left="0"/>
      </w:pPr>
      <w:r w:rsidRPr="37C44320">
        <w:rPr>
          <w:lang w:val="fr-FR"/>
        </w:rPr>
        <w:t xml:space="preserve">L’évaluation pratique est une enquête portant sur 15 sites x </w:t>
      </w:r>
      <w:r w:rsidR="3AC71617" w:rsidRPr="37C44320">
        <w:rPr>
          <w:lang w:val="fr-FR"/>
        </w:rPr>
        <w:t>2</w:t>
      </w:r>
      <w:r w:rsidRPr="37C44320">
        <w:rPr>
          <w:lang w:val="fr-FR"/>
        </w:rPr>
        <w:t xml:space="preserve">0 enfants d’âge scolaire, ce qui donne une taille d’échantillon totale de </w:t>
      </w:r>
      <w:r w:rsidR="46504D02" w:rsidRPr="37C44320">
        <w:rPr>
          <w:lang w:val="fr-FR"/>
        </w:rPr>
        <w:t>30</w:t>
      </w:r>
      <w:r w:rsidRPr="37C44320">
        <w:rPr>
          <w:lang w:val="fr-FR"/>
        </w:rPr>
        <w:t xml:space="preserve">0 enfants d’âge scolaire par district. Cette taille d’échantillon est basée sur les </w:t>
      </w:r>
      <w:r w:rsidRPr="37C44320">
        <w:rPr>
          <w:lang w:val="fr-FR"/>
        </w:rPr>
        <w:lastRenderedPageBreak/>
        <w:t xml:space="preserve">résultats de milliers de simulations effectuées sur des archétypes de SCH dans six pays différents et s’est avérée maximiser le nombre de fois où le district a été correctement classé dans le cadre de l’étude SOS </w:t>
      </w:r>
      <w:hyperlink r:id="rId13">
        <w:r w:rsidR="00757E0E" w:rsidRPr="37C44320">
          <w:rPr>
            <w:color w:val="1154CC"/>
            <w:lang w:val="fr-FR"/>
          </w:rPr>
          <w:t>Rapport de la réunion de sélection de la stratégie d’enquête</w:t>
        </w:r>
      </w:hyperlink>
      <w:r w:rsidRPr="37C44320">
        <w:rPr>
          <w:lang w:val="fr-FR"/>
        </w:rPr>
        <w:t>.</w:t>
      </w:r>
      <w:r w:rsidRPr="37C44320">
        <w:rPr>
          <w:color w:val="1154CC"/>
          <w:lang w:val="fr-FR"/>
        </w:rPr>
        <w:t xml:space="preserve"> </w:t>
      </w:r>
      <w:r w:rsidRPr="37C44320">
        <w:rPr>
          <w:b/>
          <w:bCs/>
          <w:lang w:val="fr-FR"/>
        </w:rPr>
        <w:t xml:space="preserve">Rappel : </w:t>
      </w:r>
      <w:r w:rsidRPr="37C44320">
        <w:rPr>
          <w:lang w:val="fr-FR"/>
        </w:rPr>
        <w:t>étant donné que les résultats d’une évaluation pratique sont interprétés en fonction du nombre de sites avec une prévalence au niveau du site &gt;10 %, les calculs standards de la taille de l’échantillon ne s’appliquent pas.</w:t>
      </w:r>
    </w:p>
    <w:p w14:paraId="669472F8" w14:textId="77777777" w:rsidR="000E2E95" w:rsidRPr="005669CE" w:rsidRDefault="00DB0A1C" w:rsidP="00760B03">
      <w:pPr>
        <w:pStyle w:val="Heading3"/>
        <w:ind w:left="0" w:right="305"/>
        <w:jc w:val="both"/>
      </w:pPr>
      <w:bookmarkStart w:id="18" w:name="_Selecting_Children_for"/>
      <w:bookmarkEnd w:id="18"/>
      <w:r w:rsidRPr="005669CE">
        <w:rPr>
          <w:color w:val="4471C4"/>
          <w:lang w:val="fr-FR"/>
        </w:rPr>
        <w:t>Sélection des enfants à inclure</w:t>
      </w:r>
    </w:p>
    <w:p w14:paraId="680B9053" w14:textId="49CA0645" w:rsidR="000E2E95" w:rsidRPr="005669CE" w:rsidRDefault="00DB0A1C" w:rsidP="00760B03">
      <w:pPr>
        <w:spacing w:before="42" w:line="259" w:lineRule="auto"/>
        <w:ind w:right="305"/>
        <w:jc w:val="both"/>
      </w:pPr>
      <w:r w:rsidRPr="51829B3F">
        <w:rPr>
          <w:lang w:val="fr-FR"/>
        </w:rPr>
        <w:t xml:space="preserve">La </w:t>
      </w:r>
      <w:r w:rsidRPr="51829B3F">
        <w:rPr>
          <w:b/>
          <w:bCs/>
          <w:lang w:val="fr-FR"/>
        </w:rPr>
        <w:t xml:space="preserve">taille de l’échantillon de </w:t>
      </w:r>
      <w:r w:rsidR="5A9C8FE6" w:rsidRPr="51829B3F">
        <w:rPr>
          <w:b/>
          <w:bCs/>
          <w:lang w:val="fr-FR"/>
        </w:rPr>
        <w:t>2</w:t>
      </w:r>
      <w:r w:rsidRPr="51829B3F">
        <w:rPr>
          <w:b/>
          <w:bCs/>
          <w:lang w:val="fr-FR"/>
        </w:rPr>
        <w:t>0 enfants d’âge scolaire</w:t>
      </w:r>
      <w:r w:rsidRPr="51829B3F">
        <w:rPr>
          <w:lang w:val="fr-FR"/>
        </w:rPr>
        <w:t xml:space="preserve"> par UEP représente</w:t>
      </w:r>
      <w:r w:rsidRPr="51829B3F">
        <w:rPr>
          <w:b/>
          <w:bCs/>
          <w:lang w:val="fr-FR"/>
        </w:rPr>
        <w:t xml:space="preserve"> le nombre d’enfants ciblés qui renvoient un échantillon valide </w:t>
      </w:r>
      <w:r w:rsidRPr="51829B3F">
        <w:rPr>
          <w:lang w:val="fr-FR"/>
        </w:rPr>
        <w:t xml:space="preserve">(urine et/ou selles). Pour tenir compte des enfants qui ont choisi de ne pas fournir d’échantillon ou qui ne peuvent pas le faire, nous recommandons d’inviter 2 enfants d’âge scolaire supplémentaires à participer à l’enquête dans chaque UEP. Par conséquent, dans chaque UEP, </w:t>
      </w:r>
      <w:r w:rsidR="1856A521" w:rsidRPr="51829B3F">
        <w:rPr>
          <w:lang w:val="fr-FR"/>
        </w:rPr>
        <w:t>2</w:t>
      </w:r>
      <w:r w:rsidRPr="51829B3F">
        <w:rPr>
          <w:b/>
          <w:bCs/>
          <w:lang w:val="fr-FR"/>
        </w:rPr>
        <w:t>2 enfants d’âge scolaire (1</w:t>
      </w:r>
      <w:r w:rsidR="381423D8" w:rsidRPr="51829B3F">
        <w:rPr>
          <w:b/>
          <w:bCs/>
          <w:lang w:val="fr-FR"/>
        </w:rPr>
        <w:t>1</w:t>
      </w:r>
      <w:r w:rsidRPr="51829B3F">
        <w:rPr>
          <w:b/>
          <w:bCs/>
          <w:lang w:val="fr-FR"/>
        </w:rPr>
        <w:t> filles et 1</w:t>
      </w:r>
      <w:r w:rsidR="4AB04A81" w:rsidRPr="51829B3F">
        <w:rPr>
          <w:b/>
          <w:bCs/>
          <w:lang w:val="fr-FR"/>
        </w:rPr>
        <w:t>1</w:t>
      </w:r>
      <w:r w:rsidRPr="51829B3F">
        <w:rPr>
          <w:b/>
          <w:bCs/>
          <w:lang w:val="fr-FR"/>
        </w:rPr>
        <w:t xml:space="preserve"> garçons) </w:t>
      </w:r>
      <w:r w:rsidRPr="51829B3F">
        <w:rPr>
          <w:lang w:val="fr-FR"/>
        </w:rPr>
        <w:t xml:space="preserve">doivent être sélectionnés de manière aléatoire pour les tests. Les étapes ci-dessous peuvent être suivies pour sélectionner de manière aléatoire </w:t>
      </w:r>
      <w:r w:rsidR="5D528295" w:rsidRPr="51829B3F">
        <w:rPr>
          <w:lang w:val="fr-FR"/>
        </w:rPr>
        <w:t>2</w:t>
      </w:r>
      <w:r w:rsidRPr="51829B3F">
        <w:rPr>
          <w:lang w:val="fr-FR"/>
        </w:rPr>
        <w:t>2 enfants d’âge scolaire au sein d’une école primaire.</w:t>
      </w:r>
    </w:p>
    <w:p w14:paraId="1EACA023" w14:textId="278D2429" w:rsidR="000E2E95" w:rsidRPr="005669CE" w:rsidRDefault="00DB0A1C" w:rsidP="0046273A">
      <w:pPr>
        <w:pStyle w:val="ListParagraph"/>
        <w:numPr>
          <w:ilvl w:val="0"/>
          <w:numId w:val="15"/>
        </w:numPr>
        <w:tabs>
          <w:tab w:val="left" w:pos="838"/>
          <w:tab w:val="left" w:pos="840"/>
        </w:tabs>
        <w:spacing w:before="158" w:line="259" w:lineRule="auto"/>
        <w:ind w:right="305"/>
        <w:jc w:val="both"/>
      </w:pPr>
      <w:r w:rsidRPr="51829B3F">
        <w:rPr>
          <w:b/>
          <w:bCs/>
          <w:lang w:val="fr-FR"/>
        </w:rPr>
        <w:t xml:space="preserve">Déterminer le nombre de filles et de garçons à échantillonner par classe (se limiter aux classes avec des enfants âgés de 10 à 14 ans). </w:t>
      </w:r>
      <w:r w:rsidRPr="51829B3F">
        <w:rPr>
          <w:lang w:val="fr-FR"/>
        </w:rPr>
        <w:t xml:space="preserve">Diviser </w:t>
      </w:r>
      <w:r w:rsidR="014FB548" w:rsidRPr="51829B3F">
        <w:rPr>
          <w:lang w:val="fr-FR"/>
        </w:rPr>
        <w:t>2</w:t>
      </w:r>
      <w:r w:rsidRPr="51829B3F">
        <w:rPr>
          <w:lang w:val="fr-FR"/>
        </w:rPr>
        <w:t xml:space="preserve">2 par le nombre de classes de l’école primaire susceptibles d’avoir des enfants de l’âge cible (10 à 14 ans). </w:t>
      </w:r>
      <w:r w:rsidRPr="51829B3F">
        <w:rPr>
          <w:i/>
          <w:iCs/>
          <w:lang w:val="fr-FR"/>
        </w:rPr>
        <w:t xml:space="preserve">Par exemple, si l’école compte </w:t>
      </w:r>
      <w:r w:rsidR="2D27BE74" w:rsidRPr="51829B3F">
        <w:rPr>
          <w:i/>
          <w:iCs/>
          <w:lang w:val="fr-FR"/>
        </w:rPr>
        <w:t>4</w:t>
      </w:r>
      <w:r w:rsidRPr="51829B3F">
        <w:rPr>
          <w:i/>
          <w:iCs/>
          <w:lang w:val="fr-FR"/>
        </w:rPr>
        <w:t xml:space="preserve"> classes susceptibles d’avoir des enfants de l’âge cible, le nombre d’enfants à échantillonner dans chaque classe est le suivant : </w:t>
      </w:r>
      <w:r w:rsidR="2113BE63" w:rsidRPr="51829B3F">
        <w:rPr>
          <w:i/>
          <w:iCs/>
          <w:lang w:val="fr-FR"/>
        </w:rPr>
        <w:t>2</w:t>
      </w:r>
      <w:r w:rsidRPr="51829B3F">
        <w:rPr>
          <w:i/>
          <w:iCs/>
          <w:lang w:val="fr-FR"/>
        </w:rPr>
        <w:t>2/</w:t>
      </w:r>
      <w:r w:rsidR="6AAD6EC7" w:rsidRPr="51829B3F">
        <w:rPr>
          <w:i/>
          <w:iCs/>
          <w:lang w:val="fr-FR"/>
        </w:rPr>
        <w:t>4</w:t>
      </w:r>
      <w:r w:rsidRPr="51829B3F">
        <w:rPr>
          <w:i/>
          <w:iCs/>
          <w:lang w:val="fr-FR"/>
        </w:rPr>
        <w:t xml:space="preserve"> = 5,</w:t>
      </w:r>
      <w:r w:rsidR="46CC3456" w:rsidRPr="51829B3F">
        <w:rPr>
          <w:i/>
          <w:iCs/>
          <w:lang w:val="fr-FR"/>
        </w:rPr>
        <w:t>5</w:t>
      </w:r>
      <w:r w:rsidRPr="51829B3F">
        <w:rPr>
          <w:i/>
          <w:iCs/>
          <w:lang w:val="fr-FR"/>
        </w:rPr>
        <w:t xml:space="preserve">. </w:t>
      </w:r>
      <w:r w:rsidRPr="51829B3F">
        <w:rPr>
          <w:lang w:val="fr-FR"/>
        </w:rPr>
        <w:t>Remarque : arrondir au nombre entier pair supérieur le plus proche ; dans cet exemple, le nombre d’enfants par classe serait de 6. Pour assurer l’équilibre entre les sexes, il faudrait 3 filles et 3 garçons.</w:t>
      </w:r>
    </w:p>
    <w:p w14:paraId="5F882C57" w14:textId="77777777" w:rsidR="000E2E95" w:rsidRPr="005669CE" w:rsidRDefault="00DB0A1C" w:rsidP="0046273A">
      <w:pPr>
        <w:pStyle w:val="ListParagraph"/>
        <w:numPr>
          <w:ilvl w:val="0"/>
          <w:numId w:val="15"/>
        </w:numPr>
        <w:tabs>
          <w:tab w:val="left" w:pos="830"/>
          <w:tab w:val="left" w:pos="833"/>
        </w:tabs>
        <w:spacing w:before="267"/>
        <w:ind w:left="833" w:right="305" w:hanging="356"/>
        <w:jc w:val="both"/>
      </w:pPr>
      <w:r w:rsidRPr="005669CE">
        <w:rPr>
          <w:b/>
          <w:bCs/>
          <w:lang w:val="fr-FR"/>
        </w:rPr>
        <w:t xml:space="preserve">Rassembler tous les élèves de ces classes. </w:t>
      </w:r>
      <w:r w:rsidRPr="005669CE">
        <w:rPr>
          <w:lang w:val="fr-FR"/>
        </w:rPr>
        <w:t>Tous les élèves de ces classes doivent être séparés en groupes et rassemblés en files distinctes, une file de garçons et une file de filles.</w:t>
      </w:r>
    </w:p>
    <w:p w14:paraId="0619E657" w14:textId="77777777" w:rsidR="000E2E95" w:rsidRPr="005669CE" w:rsidRDefault="00DB0A1C" w:rsidP="00760B03">
      <w:pPr>
        <w:pStyle w:val="BodyText"/>
        <w:ind w:left="0" w:right="305"/>
      </w:pPr>
      <w:r w:rsidRPr="005669CE">
        <w:rPr>
          <w:b/>
          <w:bCs/>
          <w:lang w:val="fr-FR"/>
        </w:rPr>
        <w:t>Critères d’exclusion</w:t>
      </w:r>
      <w:r w:rsidRPr="005669CE">
        <w:rPr>
          <w:lang w:val="fr-FR"/>
        </w:rPr>
        <w:t> : Tout enfant des classes sélectionnées qui ne fait pas partie du groupe d’âge cible (10-14 ans) ne doit pas participer à l’enquête. De même, tout enfant souffrant (par exemple de fièvre) ne doit pas participer à l’enquête et doit être orienté vers le professeur spécialisé en santé de l’école. Tout enfant dont les parents ont refusé qu’il participe à l’enquête ne doit pas non plus être inclus. Tous les enfants exclus doivent être invités à sortir de la file.</w:t>
      </w:r>
    </w:p>
    <w:p w14:paraId="2AA65E31" w14:textId="77777777" w:rsidR="000E2E95" w:rsidRPr="005669CE" w:rsidRDefault="00DB0A1C" w:rsidP="0046273A">
      <w:pPr>
        <w:pStyle w:val="ListParagraph"/>
        <w:numPr>
          <w:ilvl w:val="0"/>
          <w:numId w:val="15"/>
        </w:numPr>
        <w:tabs>
          <w:tab w:val="left" w:pos="838"/>
          <w:tab w:val="left" w:pos="840"/>
        </w:tabs>
        <w:spacing w:before="239"/>
        <w:ind w:right="305"/>
        <w:jc w:val="both"/>
      </w:pPr>
      <w:r w:rsidRPr="005669CE">
        <w:rPr>
          <w:b/>
          <w:bCs/>
          <w:lang w:val="fr-FR"/>
        </w:rPr>
        <w:t xml:space="preserve">Déterminer l’intervalle d’échantillonnage et sélectionner les élèves. </w:t>
      </w:r>
      <w:r w:rsidRPr="005669CE">
        <w:rPr>
          <w:lang w:val="fr-FR"/>
        </w:rPr>
        <w:t>Étapes à suivre pour l’échantillonnage des élèves lorsque le nombre de garçons ou de filles présents est supérieur au nombre requis pour l’enquête :</w:t>
      </w:r>
    </w:p>
    <w:p w14:paraId="4B783553" w14:textId="77777777" w:rsidR="000E2E95" w:rsidRPr="005669CE" w:rsidRDefault="00DB0A1C" w:rsidP="0046273A">
      <w:pPr>
        <w:pStyle w:val="ListParagraph"/>
        <w:numPr>
          <w:ilvl w:val="1"/>
          <w:numId w:val="15"/>
        </w:numPr>
        <w:tabs>
          <w:tab w:val="left" w:pos="1198"/>
        </w:tabs>
        <w:spacing w:before="120"/>
        <w:ind w:left="1198" w:right="305" w:hanging="358"/>
        <w:jc w:val="both"/>
      </w:pPr>
      <w:r w:rsidRPr="005669CE">
        <w:rPr>
          <w:lang w:val="fr-FR"/>
        </w:rPr>
        <w:t>Compter le nombre total d’élèves dans la file du groupe de classe et de genre sélectionné.</w:t>
      </w:r>
    </w:p>
    <w:p w14:paraId="5DA27B7B" w14:textId="77777777" w:rsidR="000E2E95" w:rsidRPr="005669CE" w:rsidRDefault="00DB0A1C" w:rsidP="0046273A">
      <w:pPr>
        <w:pStyle w:val="ListParagraph"/>
        <w:numPr>
          <w:ilvl w:val="1"/>
          <w:numId w:val="15"/>
        </w:numPr>
        <w:tabs>
          <w:tab w:val="left" w:pos="1200"/>
        </w:tabs>
        <w:spacing w:before="121"/>
        <w:ind w:right="305"/>
        <w:jc w:val="both"/>
        <w:rPr>
          <w:i/>
        </w:rPr>
      </w:pPr>
      <w:r w:rsidRPr="005669CE">
        <w:rPr>
          <w:lang w:val="fr-FR"/>
        </w:rPr>
        <w:t>Pour chaque file du groupe de classe et de genre, calculer l’intervalle d’échantillonnage (</w:t>
      </w:r>
      <w:r w:rsidRPr="005669CE">
        <w:rPr>
          <w:i/>
          <w:iCs/>
          <w:lang w:val="fr-FR"/>
        </w:rPr>
        <w:t>h</w:t>
      </w:r>
      <w:r w:rsidRPr="005669CE">
        <w:rPr>
          <w:lang w:val="fr-FR"/>
        </w:rPr>
        <w:t xml:space="preserve">) en divisant le nombre d’enfants de la file par le nombre de filles/garçons à échantillonner par classe (calculé à l’étape 1). Si l’intervalle d’échantillonnage obtenu pour cette classe est un chiffre décimal, arrondir au nombre entier inférieur le plus proche. </w:t>
      </w:r>
      <w:r w:rsidRPr="005669CE">
        <w:rPr>
          <w:i/>
          <w:iCs/>
          <w:lang w:val="fr-FR"/>
        </w:rPr>
        <w:t>Par exemple, s’il y a 23 filles dans une file pour la classe 4, et que nous savons que 3 filles sont nécessaires dans chaque classe à l’étape 1, l’intervalle d’échantillonnage pour les filles dans cette file est de 23/3 = 7,6, que nous arrondissons ensuite à 7. Dans ce cas, chaque 7</w:t>
      </w:r>
      <w:r w:rsidRPr="005669CE">
        <w:rPr>
          <w:i/>
          <w:iCs/>
          <w:vertAlign w:val="superscript"/>
          <w:lang w:val="fr-FR"/>
        </w:rPr>
        <w:t>e</w:t>
      </w:r>
      <w:r w:rsidRPr="005669CE">
        <w:rPr>
          <w:i/>
          <w:iCs/>
          <w:lang w:val="fr-FR"/>
        </w:rPr>
        <w:t xml:space="preserve"> fille de cette classe doit être sélectionnée.</w:t>
      </w:r>
    </w:p>
    <w:p w14:paraId="3D67FEB7" w14:textId="77777777" w:rsidR="000E2E95" w:rsidRPr="005669CE" w:rsidRDefault="00DB0A1C" w:rsidP="0046273A">
      <w:pPr>
        <w:pStyle w:val="ListParagraph"/>
        <w:numPr>
          <w:ilvl w:val="1"/>
          <w:numId w:val="15"/>
        </w:numPr>
        <w:tabs>
          <w:tab w:val="left" w:pos="1200"/>
        </w:tabs>
        <w:spacing w:before="119"/>
        <w:ind w:right="305"/>
        <w:jc w:val="both"/>
        <w:rPr>
          <w:i/>
        </w:rPr>
      </w:pPr>
      <w:r w:rsidRPr="005669CE">
        <w:rPr>
          <w:lang w:val="fr-FR"/>
        </w:rPr>
        <w:t xml:space="preserve">Sélectionner le premier enfant en choisissant de manière aléatoire un nombre entre 1 et </w:t>
      </w:r>
      <w:r w:rsidRPr="005669CE">
        <w:rPr>
          <w:i/>
          <w:iCs/>
          <w:lang w:val="fr-FR"/>
        </w:rPr>
        <w:t>h</w:t>
      </w:r>
      <w:r w:rsidRPr="005669CE">
        <w:rPr>
          <w:lang w:val="fr-FR"/>
        </w:rPr>
        <w:t xml:space="preserve">. La sélection aléatoire du nombre peut être effectuée à l’école en écrivant des nombres sur des </w:t>
      </w:r>
      <w:r w:rsidRPr="005669CE">
        <w:rPr>
          <w:lang w:val="fr-FR"/>
        </w:rPr>
        <w:lastRenderedPageBreak/>
        <w:t xml:space="preserve">morceaux de papier, en les pliant, en les plaçant dans un récipient et en les mélangeant avant d’en tirer un de manière aléatoire, puis en sélectionnant l’enfant qui se trouve à cette place dans la file. </w:t>
      </w:r>
      <w:r w:rsidRPr="005669CE">
        <w:rPr>
          <w:i/>
          <w:iCs/>
          <w:lang w:val="fr-FR"/>
        </w:rPr>
        <w:t>Dans cet exemple, l’intervalle d’échantillonnage est de 7, il faut donc choisir un nombre aléatoire compris entre 1 et 7. Supposons que le nombre choisi de manière aléatoire soit</w:t>
      </w:r>
    </w:p>
    <w:p w14:paraId="59A394EF" w14:textId="77777777" w:rsidR="000E2E95" w:rsidRPr="005669CE" w:rsidRDefault="00DB0A1C" w:rsidP="0046273A">
      <w:pPr>
        <w:spacing w:before="2"/>
        <w:ind w:left="1200" w:right="305"/>
        <w:jc w:val="both"/>
        <w:rPr>
          <w:i/>
        </w:rPr>
      </w:pPr>
      <w:r w:rsidRPr="005669CE">
        <w:rPr>
          <w:i/>
          <w:iCs/>
          <w:lang w:val="fr-FR"/>
        </w:rPr>
        <w:t>2. Cela signifie que le 2</w:t>
      </w:r>
      <w:r w:rsidRPr="005669CE">
        <w:rPr>
          <w:i/>
          <w:iCs/>
          <w:vertAlign w:val="superscript"/>
          <w:lang w:val="fr-FR"/>
        </w:rPr>
        <w:t>e</w:t>
      </w:r>
      <w:r w:rsidRPr="005669CE">
        <w:rPr>
          <w:i/>
          <w:iCs/>
          <w:lang w:val="fr-FR"/>
        </w:rPr>
        <w:t xml:space="preserve"> enfant de la ligne est le premier à être sélectionné.</w:t>
      </w:r>
    </w:p>
    <w:p w14:paraId="73958896" w14:textId="77777777" w:rsidR="000E2E95" w:rsidRPr="005669CE" w:rsidRDefault="00DB0A1C" w:rsidP="0046273A">
      <w:pPr>
        <w:pStyle w:val="ListParagraph"/>
        <w:numPr>
          <w:ilvl w:val="1"/>
          <w:numId w:val="15"/>
        </w:numPr>
        <w:tabs>
          <w:tab w:val="left" w:pos="1200"/>
        </w:tabs>
        <w:spacing w:before="120"/>
        <w:ind w:right="305"/>
        <w:jc w:val="both"/>
        <w:rPr>
          <w:i/>
        </w:rPr>
      </w:pPr>
      <w:r w:rsidRPr="005669CE">
        <w:rPr>
          <w:lang w:val="fr-FR"/>
        </w:rPr>
        <w:t xml:space="preserve">Le deuxième enfant à échantillonner devrait être le numéro initial + </w:t>
      </w:r>
      <w:r w:rsidRPr="005669CE">
        <w:rPr>
          <w:i/>
          <w:iCs/>
          <w:lang w:val="fr-FR"/>
        </w:rPr>
        <w:t>h</w:t>
      </w:r>
      <w:r w:rsidRPr="005669CE">
        <w:rPr>
          <w:lang w:val="fr-FR"/>
        </w:rPr>
        <w:t xml:space="preserve">. </w:t>
      </w:r>
      <w:r w:rsidRPr="005669CE">
        <w:rPr>
          <w:i/>
          <w:iCs/>
          <w:lang w:val="fr-FR"/>
        </w:rPr>
        <w:t>Dans ce cas, le deuxième enfant à échantillonner sera celui qui correspond au numéro initial (2) + l’intervalle d’échantillonnage (7) = 9</w:t>
      </w:r>
      <w:r w:rsidRPr="005669CE">
        <w:rPr>
          <w:i/>
          <w:iCs/>
          <w:vertAlign w:val="superscript"/>
          <w:lang w:val="fr-FR"/>
        </w:rPr>
        <w:t>e</w:t>
      </w:r>
      <w:r w:rsidRPr="005669CE">
        <w:rPr>
          <w:i/>
          <w:iCs/>
          <w:lang w:val="fr-FR"/>
        </w:rPr>
        <w:t xml:space="preserve"> enfant de la ligne.</w:t>
      </w:r>
    </w:p>
    <w:p w14:paraId="4AA5D4AF" w14:textId="77777777" w:rsidR="000E2E95" w:rsidRPr="005669CE" w:rsidRDefault="00DB0A1C" w:rsidP="00FB5C68">
      <w:pPr>
        <w:pStyle w:val="ListParagraph"/>
        <w:numPr>
          <w:ilvl w:val="1"/>
          <w:numId w:val="15"/>
        </w:numPr>
        <w:tabs>
          <w:tab w:val="left" w:pos="1200"/>
        </w:tabs>
        <w:spacing w:before="59"/>
        <w:ind w:right="305"/>
        <w:jc w:val="both"/>
        <w:rPr>
          <w:i/>
        </w:rPr>
      </w:pPr>
      <w:r w:rsidRPr="005669CE">
        <w:rPr>
          <w:lang w:val="fr-FR"/>
        </w:rPr>
        <w:t xml:space="preserve">L’échantillonnage doit alors se dérouler de cette manière, chaque </w:t>
      </w:r>
      <w:proofErr w:type="spellStart"/>
      <w:r w:rsidRPr="005669CE">
        <w:rPr>
          <w:i/>
          <w:iCs/>
          <w:lang w:val="fr-FR"/>
        </w:rPr>
        <w:t>h</w:t>
      </w:r>
      <w:r w:rsidRPr="005669CE">
        <w:rPr>
          <w:vertAlign w:val="superscript"/>
          <w:lang w:val="fr-FR"/>
        </w:rPr>
        <w:t>e</w:t>
      </w:r>
      <w:proofErr w:type="spellEnd"/>
      <w:r w:rsidRPr="005669CE">
        <w:rPr>
          <w:lang w:val="fr-FR"/>
        </w:rPr>
        <w:t xml:space="preserve"> enfant étant échantillonné. </w:t>
      </w:r>
      <w:r w:rsidRPr="005669CE">
        <w:rPr>
          <w:i/>
          <w:iCs/>
          <w:lang w:val="fr-FR"/>
        </w:rPr>
        <w:t>Le prochain enfant à être échantillonné sera le 16</w:t>
      </w:r>
      <w:r w:rsidRPr="005669CE">
        <w:rPr>
          <w:i/>
          <w:iCs/>
          <w:vertAlign w:val="superscript"/>
          <w:lang w:val="fr-FR"/>
        </w:rPr>
        <w:t>e</w:t>
      </w:r>
      <w:r w:rsidRPr="005669CE">
        <w:rPr>
          <w:i/>
          <w:iCs/>
          <w:lang w:val="fr-FR"/>
        </w:rPr>
        <w:t xml:space="preserve"> de la ligne (par exemple, 9 + 7).</w:t>
      </w:r>
    </w:p>
    <w:p w14:paraId="56DD1085" w14:textId="77777777" w:rsidR="000E2E95" w:rsidRPr="005669CE" w:rsidRDefault="00DB0A1C" w:rsidP="00FB5C68">
      <w:pPr>
        <w:pStyle w:val="ListParagraph"/>
        <w:numPr>
          <w:ilvl w:val="1"/>
          <w:numId w:val="15"/>
        </w:numPr>
        <w:tabs>
          <w:tab w:val="left" w:pos="1200"/>
        </w:tabs>
        <w:spacing w:before="121"/>
        <w:ind w:right="305"/>
        <w:jc w:val="both"/>
      </w:pPr>
      <w:r w:rsidRPr="005669CE">
        <w:rPr>
          <w:lang w:val="fr-FR"/>
        </w:rPr>
        <w:t>Les enfants sélectionnés doivent être invités à sortir de la file pour fournir des échantillons de selles et/ou d’urine.</w:t>
      </w:r>
    </w:p>
    <w:p w14:paraId="79CF9B13" w14:textId="77777777" w:rsidR="000E2E95" w:rsidRPr="005669CE" w:rsidRDefault="00DB0A1C" w:rsidP="00FB5C68">
      <w:pPr>
        <w:pStyle w:val="ListParagraph"/>
        <w:numPr>
          <w:ilvl w:val="1"/>
          <w:numId w:val="15"/>
        </w:numPr>
        <w:tabs>
          <w:tab w:val="left" w:pos="1200"/>
        </w:tabs>
        <w:spacing w:before="118"/>
        <w:ind w:right="305"/>
        <w:jc w:val="both"/>
      </w:pPr>
      <w:r w:rsidRPr="005669CE">
        <w:rPr>
          <w:lang w:val="fr-FR"/>
        </w:rPr>
        <w:t>Si la taille de l’échantillon cible pour cette classe et ce sexe n’est pas atteinte parce que certains des élèves sélectionnés ne peuvent ou ne veulent pas fournir d’échantillons, d’autres enfants doivent être sélectionnés de manière aléatoire jusqu’à ce que le nombre cible d’échantillons de selles et d’urine pour cette classe et ce genre soit atteint.</w:t>
      </w:r>
    </w:p>
    <w:p w14:paraId="2C7D2329" w14:textId="77777777" w:rsidR="000E2E95" w:rsidRPr="005669CE" w:rsidRDefault="00DB0A1C" w:rsidP="007B5A6D">
      <w:pPr>
        <w:pStyle w:val="BodyText"/>
        <w:ind w:left="0" w:right="305"/>
      </w:pPr>
      <w:r w:rsidRPr="005669CE">
        <w:rPr>
          <w:lang w:val="fr-FR"/>
        </w:rPr>
        <w:t>Une liste des élèves sélectionnés pour participer à l’enquête et fournir des échantillons doit être remise à l’école pour ses archives.</w:t>
      </w:r>
    </w:p>
    <w:p w14:paraId="57BAAE17" w14:textId="77777777" w:rsidR="000E2E95" w:rsidRPr="005669CE" w:rsidRDefault="000E2E95" w:rsidP="00FB5C68">
      <w:pPr>
        <w:pStyle w:val="BodyText"/>
        <w:ind w:right="305"/>
      </w:pPr>
    </w:p>
    <w:p w14:paraId="2FB58C29" w14:textId="77777777" w:rsidR="000E2E95" w:rsidRPr="005669CE" w:rsidRDefault="00DB0A1C" w:rsidP="007B5A6D">
      <w:pPr>
        <w:pStyle w:val="Heading2"/>
        <w:ind w:left="0"/>
      </w:pPr>
      <w:bookmarkStart w:id="19" w:name="_bookmark9"/>
      <w:bookmarkStart w:id="20" w:name="_Toc181011867"/>
      <w:bookmarkEnd w:id="19"/>
      <w:r w:rsidRPr="005669CE">
        <w:rPr>
          <w:lang w:val="fr-FR"/>
        </w:rPr>
        <w:t xml:space="preserve">Échantillonnage pour les </w:t>
      </w:r>
      <w:r w:rsidRPr="005669CE">
        <w:rPr>
          <w:u w:val="single"/>
          <w:lang w:val="fr-FR"/>
        </w:rPr>
        <w:t>évaluations de précision</w:t>
      </w:r>
      <w:bookmarkEnd w:id="20"/>
    </w:p>
    <w:p w14:paraId="62CED8A2" w14:textId="77777777" w:rsidR="000E2E95" w:rsidRPr="005669CE" w:rsidRDefault="00DB0A1C" w:rsidP="007B5A6D">
      <w:pPr>
        <w:pStyle w:val="Heading3"/>
        <w:spacing w:before="237"/>
        <w:ind w:left="0" w:right="305"/>
        <w:jc w:val="both"/>
      </w:pPr>
      <w:r w:rsidRPr="005669CE">
        <w:rPr>
          <w:color w:val="4471C4"/>
          <w:lang w:val="fr-FR"/>
        </w:rPr>
        <w:t>Zone d’enquête</w:t>
      </w:r>
    </w:p>
    <w:p w14:paraId="3459B397" w14:textId="77777777" w:rsidR="000E2E95" w:rsidRPr="005669CE" w:rsidRDefault="00DB0A1C" w:rsidP="007B5A6D">
      <w:pPr>
        <w:pStyle w:val="BodyText"/>
        <w:ind w:left="0" w:right="305"/>
      </w:pPr>
      <w:r w:rsidRPr="005669CE">
        <w:rPr>
          <w:lang w:val="fr-FR"/>
        </w:rPr>
        <w:t>Les évaluations de précision doivent être menées au niveau du sous-district (sous-UMO).</w:t>
      </w:r>
    </w:p>
    <w:p w14:paraId="704B818B" w14:textId="77777777" w:rsidR="000E2E95" w:rsidRPr="005669CE" w:rsidRDefault="00DB0A1C" w:rsidP="007B5A6D">
      <w:pPr>
        <w:pStyle w:val="Heading3"/>
        <w:spacing w:before="262"/>
        <w:ind w:left="0" w:right="305"/>
        <w:jc w:val="both"/>
      </w:pPr>
      <w:r w:rsidRPr="005669CE">
        <w:rPr>
          <w:color w:val="4471C4"/>
          <w:lang w:val="fr-FR"/>
        </w:rPr>
        <w:t>Unité d’échantillonnage primaire</w:t>
      </w:r>
    </w:p>
    <w:p w14:paraId="1BB59B99" w14:textId="77777777" w:rsidR="000E2E95" w:rsidRPr="005669CE" w:rsidRDefault="00DB0A1C" w:rsidP="007B5A6D">
      <w:pPr>
        <w:pStyle w:val="BodyText"/>
        <w:ind w:left="0" w:right="305"/>
      </w:pPr>
      <w:r w:rsidRPr="005669CE">
        <w:rPr>
          <w:lang w:val="fr-FR"/>
        </w:rPr>
        <w:t>L’unité primaire d’échantillonnage (UEP) préférée est l’école ; toutefois, le programme SCH peut déterminer que la communauté est une UEP plus appropriée si : (i) l’école n’est pas ouverte au moment de l’enquête, (ii) le programme craint qu’une faible fréquentation scolaire ne fausse les résultats de l’enquête, ou (iii) il existe un désir de collecter des échantillons concomitants d’adultes. Les écoles ou les communautés sont des choix valables en tant qu’UEP.</w:t>
      </w:r>
    </w:p>
    <w:p w14:paraId="211EF7DA" w14:textId="77777777" w:rsidR="000E2E95" w:rsidRPr="005669CE" w:rsidRDefault="00DB0A1C" w:rsidP="007B5A6D">
      <w:pPr>
        <w:pStyle w:val="Heading3"/>
        <w:spacing w:before="241"/>
        <w:ind w:left="0" w:right="305"/>
        <w:jc w:val="both"/>
      </w:pPr>
      <w:r w:rsidRPr="005669CE">
        <w:rPr>
          <w:color w:val="4471C4"/>
          <w:lang w:val="fr-FR"/>
        </w:rPr>
        <w:t>Sélection des UEP à inclure</w:t>
      </w:r>
    </w:p>
    <w:p w14:paraId="3C1733AC" w14:textId="77777777" w:rsidR="000E2E95" w:rsidRPr="005669CE" w:rsidRDefault="00DB0A1C" w:rsidP="007B5A6D">
      <w:pPr>
        <w:spacing w:before="39" w:line="259" w:lineRule="auto"/>
        <w:ind w:right="305"/>
        <w:jc w:val="both"/>
      </w:pPr>
      <w:r w:rsidRPr="005669CE">
        <w:rPr>
          <w:lang w:val="fr-FR"/>
        </w:rPr>
        <w:t xml:space="preserve">Les évaluations de précision nécessitent la sélection ciblée de 4 UEP par sous-district, sur la base des sites qui sont censés présenter le plus grand risque de schistosomiase. </w:t>
      </w:r>
      <w:r w:rsidRPr="005669CE">
        <w:rPr>
          <w:b/>
          <w:bCs/>
          <w:lang w:val="fr-FR"/>
        </w:rPr>
        <w:t>Une prévalence de base élevée, une faible couverture du programme, la proximité de sources d’eau infestées, des professions à haut risque et la migration à partir de zones à haut risque peuvent tous être utilisés pour sélectionner l’UEP la plus à risque</w:t>
      </w:r>
      <w:r w:rsidRPr="005669CE">
        <w:rPr>
          <w:lang w:val="fr-FR"/>
        </w:rPr>
        <w:t>. Le programme SCH est encouragé à examiner avec les équipes de district les données du programme et à discuter des facteurs de risque locaux afin de déterminer l’UEP à inclure. Si certains sous-districts ne disposent pas de 4 UEP (par exemple, certains petits sous-districts n’ont pas 4 écoles primaires différentes), il est possible de fusionner deux ou plusieurs sous-districts.</w:t>
      </w:r>
    </w:p>
    <w:p w14:paraId="61262047" w14:textId="77777777" w:rsidR="000E2E95" w:rsidRPr="005669CE" w:rsidRDefault="00DB0A1C" w:rsidP="003A0626">
      <w:pPr>
        <w:pStyle w:val="Heading3"/>
        <w:ind w:left="0" w:right="305"/>
        <w:jc w:val="both"/>
      </w:pPr>
      <w:r w:rsidRPr="005669CE">
        <w:rPr>
          <w:color w:val="4471C4"/>
          <w:lang w:val="fr-FR"/>
        </w:rPr>
        <w:lastRenderedPageBreak/>
        <w:t>Population cible</w:t>
      </w:r>
    </w:p>
    <w:p w14:paraId="0EB138FC" w14:textId="77777777" w:rsidR="000E2E95" w:rsidRPr="005669CE" w:rsidRDefault="00DB0A1C" w:rsidP="003A0626">
      <w:pPr>
        <w:spacing w:before="39"/>
        <w:ind w:right="305"/>
        <w:jc w:val="both"/>
      </w:pPr>
      <w:r w:rsidRPr="005669CE">
        <w:rPr>
          <w:lang w:val="fr-FR"/>
        </w:rPr>
        <w:t xml:space="preserve">La population cible des évaluations de précision est </w:t>
      </w:r>
      <w:r w:rsidRPr="005669CE">
        <w:rPr>
          <w:b/>
          <w:bCs/>
          <w:lang w:val="fr-FR"/>
        </w:rPr>
        <w:t xml:space="preserve">les enfants d’âge scolaire plus âgés, </w:t>
      </w:r>
      <w:r w:rsidRPr="005669CE">
        <w:rPr>
          <w:b/>
          <w:bCs/>
          <w:u w:val="single"/>
          <w:lang w:val="fr-FR"/>
        </w:rPr>
        <w:t>de 10 à 14 ans</w:t>
      </w:r>
      <w:r w:rsidRPr="005669CE">
        <w:rPr>
          <w:lang w:val="fr-FR"/>
        </w:rPr>
        <w:t>.</w:t>
      </w:r>
    </w:p>
    <w:p w14:paraId="3FE3D252" w14:textId="77777777" w:rsidR="000E2E95" w:rsidRPr="005669CE" w:rsidRDefault="00DB0A1C" w:rsidP="003A0626">
      <w:pPr>
        <w:pStyle w:val="Heading3"/>
        <w:spacing w:before="262"/>
        <w:ind w:left="0" w:right="305"/>
        <w:jc w:val="both"/>
      </w:pPr>
      <w:r w:rsidRPr="005669CE">
        <w:rPr>
          <w:color w:val="4471C4"/>
          <w:lang w:val="fr-FR"/>
        </w:rPr>
        <w:t>Taille Echantillon</w:t>
      </w:r>
    </w:p>
    <w:p w14:paraId="2208652A" w14:textId="77777777" w:rsidR="000E2E95" w:rsidRPr="005669CE" w:rsidRDefault="00DB0A1C" w:rsidP="003A0626">
      <w:pPr>
        <w:pStyle w:val="BodyText"/>
        <w:ind w:left="0" w:right="305"/>
      </w:pPr>
      <w:r w:rsidRPr="005669CE">
        <w:rPr>
          <w:lang w:val="fr-FR"/>
        </w:rPr>
        <w:t xml:space="preserve">Les évaluations de précision nécessitent l’échantillonnage de 4 sites x 20 enfants d’âge scolaire par site, pour une taille d’échantillon totale de 80 enfants d’âge scolaire par sous-district. Cette taille d’échantillon est basée sur les résultats de milliers de simulations effectuées à travers des archétypes dans six pays différents </w:t>
      </w:r>
      <w:hyperlink r:id="rId14" w:history="1">
        <w:r w:rsidR="00934170" w:rsidRPr="005669CE">
          <w:rPr>
            <w:color w:val="1154CC"/>
            <w:lang w:val="fr-FR"/>
          </w:rPr>
          <w:t>Rapport de la réunion de sélection de la stratégie d’enquête</w:t>
        </w:r>
      </w:hyperlink>
      <w:r w:rsidRPr="005669CE">
        <w:rPr>
          <w:lang w:val="fr-FR"/>
        </w:rPr>
        <w:t xml:space="preserve">. Cette taille d’échantillon permet d’obtenir une précision de </w:t>
      </w:r>
      <w:r w:rsidRPr="005669CE">
        <w:rPr>
          <w:u w:val="single"/>
          <w:lang w:val="fr-FR"/>
        </w:rPr>
        <w:t>+</w:t>
      </w:r>
      <w:r w:rsidRPr="005669CE">
        <w:rPr>
          <w:lang w:val="fr-FR"/>
        </w:rPr>
        <w:t>6,5 % pour mesurer le seuil cible de 10 %.</w:t>
      </w:r>
    </w:p>
    <w:p w14:paraId="371DB9C6" w14:textId="77777777" w:rsidR="00BA3889" w:rsidRPr="005669CE" w:rsidRDefault="00BA3889" w:rsidP="00FB5C68">
      <w:pPr>
        <w:pStyle w:val="Heading3"/>
        <w:spacing w:before="20"/>
        <w:ind w:right="447"/>
        <w:jc w:val="both"/>
        <w:rPr>
          <w:color w:val="4471C4"/>
        </w:rPr>
      </w:pPr>
    </w:p>
    <w:p w14:paraId="0A6CBFA5" w14:textId="77777777" w:rsidR="000E2E95" w:rsidRPr="005669CE" w:rsidRDefault="00DB0A1C" w:rsidP="003A0626">
      <w:pPr>
        <w:pStyle w:val="Heading3"/>
        <w:spacing w:before="20"/>
        <w:ind w:left="0" w:right="447"/>
        <w:jc w:val="both"/>
      </w:pPr>
      <w:r w:rsidRPr="005669CE">
        <w:rPr>
          <w:color w:val="4471C4"/>
          <w:lang w:val="fr-FR"/>
        </w:rPr>
        <w:t>Sélection des enfants à inclure</w:t>
      </w:r>
    </w:p>
    <w:p w14:paraId="0900C0D6" w14:textId="77777777" w:rsidR="000E2E95" w:rsidRPr="005669CE" w:rsidRDefault="00DB0A1C" w:rsidP="003A0626">
      <w:pPr>
        <w:spacing w:before="39" w:line="259" w:lineRule="auto"/>
        <w:ind w:right="447"/>
        <w:jc w:val="both"/>
      </w:pPr>
      <w:r w:rsidRPr="005669CE">
        <w:rPr>
          <w:lang w:val="fr-FR"/>
        </w:rPr>
        <w:t xml:space="preserve">La </w:t>
      </w:r>
      <w:r w:rsidRPr="005669CE">
        <w:rPr>
          <w:b/>
          <w:bCs/>
          <w:lang w:val="fr-FR"/>
        </w:rPr>
        <w:t>taille de l’échantillon de 20 enfants d’âge scolaire</w:t>
      </w:r>
      <w:r w:rsidRPr="005669CE">
        <w:rPr>
          <w:lang w:val="fr-FR"/>
        </w:rPr>
        <w:t xml:space="preserve"> par UEP </w:t>
      </w:r>
      <w:proofErr w:type="gramStart"/>
      <w:r w:rsidRPr="005669CE">
        <w:rPr>
          <w:lang w:val="fr-FR"/>
        </w:rPr>
        <w:t xml:space="preserve">représente </w:t>
      </w:r>
      <w:r w:rsidRPr="005669CE">
        <w:rPr>
          <w:b/>
          <w:bCs/>
          <w:lang w:val="fr-FR"/>
        </w:rPr>
        <w:t xml:space="preserve"> le</w:t>
      </w:r>
      <w:proofErr w:type="gramEnd"/>
      <w:r w:rsidRPr="005669CE">
        <w:rPr>
          <w:b/>
          <w:bCs/>
          <w:lang w:val="fr-FR"/>
        </w:rPr>
        <w:t xml:space="preserve"> nombre d’enfants ciblés qui renvoient un échantillon valide </w:t>
      </w:r>
      <w:r w:rsidRPr="005669CE">
        <w:rPr>
          <w:lang w:val="fr-FR"/>
        </w:rPr>
        <w:t xml:space="preserve">(urine et/ou selles). Pour tenir compte des enfants qui ont choisi de ne pas fournir d’échantillon ou qui ne peuvent pas le faire, nous recommandons d’inviter 2 enfants d’âge scolaire supplémentaires à participer à l’enquête dans chaque UEP. Par conséquent, dans chaque UEP, </w:t>
      </w:r>
      <w:r w:rsidRPr="005669CE">
        <w:rPr>
          <w:b/>
          <w:bCs/>
          <w:lang w:val="fr-FR"/>
        </w:rPr>
        <w:t xml:space="preserve">22 enfants d’âge scolaire (11 filles et 11 garçons) </w:t>
      </w:r>
      <w:r w:rsidRPr="005669CE">
        <w:rPr>
          <w:lang w:val="fr-FR"/>
        </w:rPr>
        <w:t>doivent être sélectionnés de manière aléatoire pour les tests. Les étapes ci-dessous peuvent être suivies pour sélectionner de manière aléatoire 22 enfants d’âge scolaire au sein d’une école primaire.</w:t>
      </w:r>
    </w:p>
    <w:p w14:paraId="7CF28570" w14:textId="77777777" w:rsidR="000E2E95" w:rsidRPr="005669CE" w:rsidRDefault="00DB0A1C" w:rsidP="00FB5C68">
      <w:pPr>
        <w:pStyle w:val="ListParagraph"/>
        <w:numPr>
          <w:ilvl w:val="0"/>
          <w:numId w:val="14"/>
        </w:numPr>
        <w:tabs>
          <w:tab w:val="left" w:pos="838"/>
          <w:tab w:val="left" w:pos="840"/>
        </w:tabs>
        <w:spacing w:before="160" w:line="259" w:lineRule="auto"/>
        <w:ind w:right="447"/>
        <w:jc w:val="both"/>
      </w:pPr>
      <w:r w:rsidRPr="005669CE">
        <w:rPr>
          <w:b/>
          <w:bCs/>
          <w:lang w:val="fr-FR"/>
        </w:rPr>
        <w:t xml:space="preserve">Déterminer le nombre de filles et de garçons à échantillonner par classe (se limiter aux classes avec des enfants âgés de 10 à 14 ans). </w:t>
      </w:r>
      <w:r w:rsidRPr="005669CE">
        <w:rPr>
          <w:lang w:val="fr-FR"/>
        </w:rPr>
        <w:t xml:space="preserve">Diviser 22 par le nombre de classes de l’école primaire susceptibles d’avoir des enfants de l’âge cible (10 à 14 ans). </w:t>
      </w:r>
      <w:r w:rsidRPr="005669CE">
        <w:rPr>
          <w:i/>
          <w:iCs/>
          <w:lang w:val="fr-FR"/>
        </w:rPr>
        <w:t xml:space="preserve">Par exemple, si l’école compte 4 classes susceptibles d’avoir des enfants de l’âge cible, le nombre d’enfants à échantillonner dans chaque classe est le suivant : 22/4 = 5,5. </w:t>
      </w:r>
      <w:r w:rsidRPr="005669CE">
        <w:rPr>
          <w:lang w:val="fr-FR"/>
        </w:rPr>
        <w:t xml:space="preserve">Remarque : le résultat doit être arrondi au nombre entier </w:t>
      </w:r>
      <w:r w:rsidRPr="005669CE">
        <w:rPr>
          <w:b/>
          <w:bCs/>
          <w:lang w:val="fr-FR"/>
        </w:rPr>
        <w:t>pair</w:t>
      </w:r>
      <w:r w:rsidRPr="005669CE">
        <w:rPr>
          <w:lang w:val="fr-FR"/>
        </w:rPr>
        <w:t xml:space="preserve"> supérieur le plus proche ; dans cet exemple, le nombre d’enfants par classe serait arrondi à 6. Pour assurer l’équilibre entre les sexes, il faudrait 3 filles et 3 garçons.</w:t>
      </w:r>
    </w:p>
    <w:p w14:paraId="7EF626A0" w14:textId="77777777" w:rsidR="000E2E95" w:rsidRPr="005669CE" w:rsidRDefault="00DB0A1C" w:rsidP="00FB5C68">
      <w:pPr>
        <w:pStyle w:val="ListParagraph"/>
        <w:numPr>
          <w:ilvl w:val="0"/>
          <w:numId w:val="14"/>
        </w:numPr>
        <w:tabs>
          <w:tab w:val="left" w:pos="830"/>
          <w:tab w:val="left" w:pos="833"/>
        </w:tabs>
        <w:spacing w:before="268"/>
        <w:ind w:left="833" w:right="447" w:hanging="356"/>
        <w:jc w:val="both"/>
      </w:pPr>
      <w:r w:rsidRPr="005669CE">
        <w:rPr>
          <w:b/>
          <w:bCs/>
          <w:lang w:val="fr-FR"/>
        </w:rPr>
        <w:t xml:space="preserve">Rassembler tous les élèves de ces classes. </w:t>
      </w:r>
      <w:r w:rsidRPr="005669CE">
        <w:rPr>
          <w:lang w:val="fr-FR"/>
        </w:rPr>
        <w:t>Tous les élèves de ces classes doivent être séparés en groupes et rassemblés en files distinctes, une file de garçons et une file de filles pour chaque âge.</w:t>
      </w:r>
    </w:p>
    <w:p w14:paraId="4434BB97" w14:textId="77777777" w:rsidR="000E2E95" w:rsidRPr="005669CE" w:rsidRDefault="00DB0A1C" w:rsidP="003A0626">
      <w:pPr>
        <w:pStyle w:val="BodyText"/>
        <w:ind w:left="0" w:right="306"/>
      </w:pPr>
      <w:r w:rsidRPr="005669CE">
        <w:rPr>
          <w:b/>
          <w:bCs/>
          <w:lang w:val="fr-FR"/>
        </w:rPr>
        <w:t>Critères d’exclusion</w:t>
      </w:r>
      <w:r w:rsidRPr="005669CE">
        <w:rPr>
          <w:lang w:val="fr-FR"/>
        </w:rPr>
        <w:t> : Tout enfant des classes sélectionnées qui ne fait pas partie du groupe d’âge cible (10-14 ans) ne doit pas participer à l’enquête. De même, tout enfant souffrant (par exemple de fièvre) ne doit pas participer à l’enquête et doit être orienté vers le professeur spécialisé en santé de l’école. Tout enfant dont les parents ont refusé qu’il participe à l’enquête ne doit pas non plus être inclus. Tous les enfants exclus doivent être invités à sortir de la file.</w:t>
      </w:r>
    </w:p>
    <w:p w14:paraId="360D6640" w14:textId="77777777" w:rsidR="000E2E95" w:rsidRPr="005669CE" w:rsidRDefault="00DB0A1C" w:rsidP="00FB5C68">
      <w:pPr>
        <w:pStyle w:val="ListParagraph"/>
        <w:numPr>
          <w:ilvl w:val="0"/>
          <w:numId w:val="14"/>
        </w:numPr>
        <w:tabs>
          <w:tab w:val="left" w:pos="838"/>
          <w:tab w:val="left" w:pos="840"/>
        </w:tabs>
        <w:spacing w:before="242"/>
        <w:ind w:right="306"/>
        <w:jc w:val="both"/>
      </w:pPr>
      <w:r w:rsidRPr="005669CE">
        <w:rPr>
          <w:b/>
          <w:bCs/>
          <w:lang w:val="fr-FR"/>
        </w:rPr>
        <w:t xml:space="preserve">Déterminer l’intervalle d’échantillonnage et sélectionner les élèves. </w:t>
      </w:r>
      <w:r w:rsidRPr="005669CE">
        <w:rPr>
          <w:lang w:val="fr-FR"/>
        </w:rPr>
        <w:t>Étapes à suivre pour échantillonner les élèves lorsque le nombre cible (calculé à l’étape 1) dans un groupe de classe et de genre est dépassé :</w:t>
      </w:r>
    </w:p>
    <w:p w14:paraId="3B186949" w14:textId="77777777" w:rsidR="000E2E95" w:rsidRPr="005669CE" w:rsidRDefault="00DB0A1C" w:rsidP="00FB5C68">
      <w:pPr>
        <w:pStyle w:val="ListParagraph"/>
        <w:numPr>
          <w:ilvl w:val="1"/>
          <w:numId w:val="14"/>
        </w:numPr>
        <w:tabs>
          <w:tab w:val="left" w:pos="1198"/>
        </w:tabs>
        <w:spacing w:before="120"/>
        <w:ind w:left="1198" w:right="306" w:hanging="358"/>
        <w:jc w:val="both"/>
      </w:pPr>
      <w:r w:rsidRPr="005669CE">
        <w:rPr>
          <w:lang w:val="fr-FR"/>
        </w:rPr>
        <w:t>Compter le nombre total d’élèves dans la ligne du groupe de classe et de genre.</w:t>
      </w:r>
    </w:p>
    <w:p w14:paraId="328BECAA" w14:textId="77777777" w:rsidR="000E2E95" w:rsidRPr="005669CE" w:rsidRDefault="00DB0A1C" w:rsidP="00FB5C68">
      <w:pPr>
        <w:pStyle w:val="ListParagraph"/>
        <w:numPr>
          <w:ilvl w:val="1"/>
          <w:numId w:val="14"/>
        </w:numPr>
        <w:tabs>
          <w:tab w:val="left" w:pos="1200"/>
        </w:tabs>
        <w:spacing w:before="118"/>
        <w:ind w:right="306"/>
        <w:jc w:val="both"/>
        <w:rPr>
          <w:i/>
        </w:rPr>
      </w:pPr>
      <w:r w:rsidRPr="005669CE">
        <w:rPr>
          <w:lang w:val="fr-FR"/>
        </w:rPr>
        <w:t>Pour chaque file du groupe de classe et de genre, calculer l’intervalle d’échantillonnage (</w:t>
      </w:r>
      <w:r w:rsidRPr="005669CE">
        <w:rPr>
          <w:i/>
          <w:iCs/>
          <w:lang w:val="fr-FR"/>
        </w:rPr>
        <w:t>h</w:t>
      </w:r>
      <w:r w:rsidRPr="005669CE">
        <w:rPr>
          <w:lang w:val="fr-FR"/>
        </w:rPr>
        <w:t xml:space="preserve">) en divisant le nombre d’enfants de la file par le nombre de filles/garçons à échantillonner par classe (calculé à l’étape 1). Le résultat doit être arrondi au nombre entier inférieur le plus proche. </w:t>
      </w:r>
      <w:r w:rsidRPr="005669CE">
        <w:rPr>
          <w:i/>
          <w:iCs/>
          <w:lang w:val="fr-FR"/>
        </w:rPr>
        <w:t xml:space="preserve">Par exemple, s’il y a 17 filles dans la file de la classe 2, l’intervalle d’échantillonnage pour les filles de </w:t>
      </w:r>
      <w:r w:rsidRPr="005669CE">
        <w:rPr>
          <w:i/>
          <w:iCs/>
          <w:lang w:val="fr-FR"/>
        </w:rPr>
        <w:lastRenderedPageBreak/>
        <w:t>cette ligne est de 17/3 = 5,6 (arrondir à 5). Dans ce cas, chaque 5</w:t>
      </w:r>
      <w:r w:rsidRPr="005669CE">
        <w:rPr>
          <w:i/>
          <w:iCs/>
          <w:vertAlign w:val="superscript"/>
          <w:lang w:val="fr-FR"/>
        </w:rPr>
        <w:t>e</w:t>
      </w:r>
      <w:r w:rsidRPr="005669CE">
        <w:rPr>
          <w:i/>
          <w:iCs/>
          <w:lang w:val="fr-FR"/>
        </w:rPr>
        <w:t xml:space="preserve"> fille de cette classe doit être sélectionnée.</w:t>
      </w:r>
    </w:p>
    <w:p w14:paraId="3D02F2C0" w14:textId="77777777" w:rsidR="000E2E95" w:rsidRPr="005669CE" w:rsidRDefault="00DB0A1C" w:rsidP="00FB5C68">
      <w:pPr>
        <w:pStyle w:val="ListParagraph"/>
        <w:numPr>
          <w:ilvl w:val="1"/>
          <w:numId w:val="14"/>
        </w:numPr>
        <w:tabs>
          <w:tab w:val="left" w:pos="1200"/>
        </w:tabs>
        <w:spacing w:before="122"/>
        <w:ind w:right="306"/>
        <w:jc w:val="both"/>
        <w:rPr>
          <w:i/>
        </w:rPr>
      </w:pPr>
      <w:r w:rsidRPr="005669CE">
        <w:rPr>
          <w:lang w:val="fr-FR"/>
        </w:rPr>
        <w:t xml:space="preserve">Sélectionner le premier enfant en choisissant de manière aléatoire un nombre entre 1 et </w:t>
      </w:r>
      <w:r w:rsidRPr="005669CE">
        <w:rPr>
          <w:i/>
          <w:iCs/>
          <w:lang w:val="fr-FR"/>
        </w:rPr>
        <w:t>h</w:t>
      </w:r>
      <w:r w:rsidRPr="005669CE">
        <w:rPr>
          <w:lang w:val="fr-FR"/>
        </w:rPr>
        <w:t xml:space="preserve">. La sélection aléatoire du nombre peut être effectuée à l’école en écrivant des nombres sur des morceaux de papier, en les pliant, en les plaçant dans un récipient et en les mélangeant avant d’en tirer un de manière aléatoire, puis en sélectionnant l’enfant qui se trouve à cette place dans la file. </w:t>
      </w:r>
      <w:r w:rsidRPr="005669CE">
        <w:rPr>
          <w:i/>
          <w:iCs/>
          <w:lang w:val="fr-FR"/>
        </w:rPr>
        <w:t>Dans cet exemple, h = 5, il faut donc choisir un nombre aléatoire compris entre 1 et 5. Supposons que ce nombre aléatoire soit 5. Cela signifie que le 5</w:t>
      </w:r>
      <w:r w:rsidRPr="005669CE">
        <w:rPr>
          <w:i/>
          <w:iCs/>
          <w:vertAlign w:val="superscript"/>
          <w:lang w:val="fr-FR"/>
        </w:rPr>
        <w:t>e</w:t>
      </w:r>
      <w:r w:rsidRPr="005669CE">
        <w:rPr>
          <w:i/>
          <w:iCs/>
          <w:lang w:val="fr-FR"/>
        </w:rPr>
        <w:t xml:space="preserve"> enfant de la ligne est le premier à être sélectionné.</w:t>
      </w:r>
    </w:p>
    <w:p w14:paraId="3527840C" w14:textId="77777777" w:rsidR="000E2E95" w:rsidRPr="005669CE" w:rsidRDefault="00DB0A1C" w:rsidP="00FB5C68">
      <w:pPr>
        <w:pStyle w:val="ListParagraph"/>
        <w:numPr>
          <w:ilvl w:val="1"/>
          <w:numId w:val="14"/>
        </w:numPr>
        <w:tabs>
          <w:tab w:val="left" w:pos="1200"/>
        </w:tabs>
        <w:spacing w:before="119"/>
        <w:ind w:right="306"/>
        <w:jc w:val="both"/>
        <w:rPr>
          <w:i/>
        </w:rPr>
      </w:pPr>
      <w:r w:rsidRPr="005669CE">
        <w:rPr>
          <w:lang w:val="fr-FR"/>
        </w:rPr>
        <w:t xml:space="preserve">Le deuxième enfant à échantillonner devrait être le numéro initial + </w:t>
      </w:r>
      <w:r w:rsidRPr="005669CE">
        <w:rPr>
          <w:i/>
          <w:iCs/>
          <w:lang w:val="fr-FR"/>
        </w:rPr>
        <w:t>h</w:t>
      </w:r>
      <w:r w:rsidRPr="005669CE">
        <w:rPr>
          <w:lang w:val="fr-FR"/>
        </w:rPr>
        <w:t xml:space="preserve">. </w:t>
      </w:r>
      <w:r w:rsidRPr="005669CE">
        <w:rPr>
          <w:i/>
          <w:iCs/>
          <w:lang w:val="fr-FR"/>
        </w:rPr>
        <w:t>Dans cet exemple, le prochain enfant sélectionné sera l’enfant du repère précédent (5</w:t>
      </w:r>
      <w:r w:rsidRPr="005669CE">
        <w:rPr>
          <w:i/>
          <w:iCs/>
          <w:vertAlign w:val="superscript"/>
          <w:lang w:val="fr-FR"/>
        </w:rPr>
        <w:t>e</w:t>
      </w:r>
      <w:r w:rsidRPr="005669CE">
        <w:rPr>
          <w:i/>
          <w:iCs/>
          <w:lang w:val="fr-FR"/>
        </w:rPr>
        <w:t>) + l’intervalle d’échantillonnage (5) = 10</w:t>
      </w:r>
      <w:r w:rsidRPr="005669CE">
        <w:rPr>
          <w:i/>
          <w:iCs/>
          <w:vertAlign w:val="superscript"/>
          <w:lang w:val="fr-FR"/>
        </w:rPr>
        <w:t>e</w:t>
      </w:r>
      <w:r w:rsidRPr="005669CE">
        <w:rPr>
          <w:i/>
          <w:iCs/>
          <w:lang w:val="fr-FR"/>
        </w:rPr>
        <w:t xml:space="preserve"> enfant.</w:t>
      </w:r>
    </w:p>
    <w:p w14:paraId="48018119" w14:textId="77777777" w:rsidR="000E2E95" w:rsidRPr="005669CE" w:rsidRDefault="00DB0A1C" w:rsidP="00FB5C68">
      <w:pPr>
        <w:pStyle w:val="ListParagraph"/>
        <w:numPr>
          <w:ilvl w:val="1"/>
          <w:numId w:val="14"/>
        </w:numPr>
        <w:tabs>
          <w:tab w:val="left" w:pos="1199"/>
        </w:tabs>
        <w:spacing w:before="121"/>
        <w:ind w:left="1199" w:right="306" w:hanging="359"/>
        <w:jc w:val="both"/>
      </w:pPr>
      <w:r w:rsidRPr="005669CE">
        <w:rPr>
          <w:lang w:val="fr-FR"/>
        </w:rPr>
        <w:t xml:space="preserve">L’échantillonnage doit alors se dérouler de cette manière, chaque </w:t>
      </w:r>
      <w:proofErr w:type="spellStart"/>
      <w:r w:rsidRPr="005669CE">
        <w:rPr>
          <w:i/>
          <w:iCs/>
          <w:lang w:val="fr-FR"/>
        </w:rPr>
        <w:t>h</w:t>
      </w:r>
      <w:r w:rsidRPr="005669CE">
        <w:rPr>
          <w:vertAlign w:val="superscript"/>
          <w:lang w:val="fr-FR"/>
        </w:rPr>
        <w:t>e</w:t>
      </w:r>
      <w:proofErr w:type="spellEnd"/>
      <w:r w:rsidRPr="005669CE">
        <w:rPr>
          <w:lang w:val="fr-FR"/>
        </w:rPr>
        <w:t xml:space="preserve"> enfant étant échantillonné.</w:t>
      </w:r>
    </w:p>
    <w:p w14:paraId="7CC27385" w14:textId="77777777" w:rsidR="00120E69" w:rsidRPr="005669CE" w:rsidRDefault="00DB0A1C" w:rsidP="00FB5C68">
      <w:pPr>
        <w:pStyle w:val="ListParagraph"/>
        <w:numPr>
          <w:ilvl w:val="1"/>
          <w:numId w:val="14"/>
        </w:numPr>
        <w:tabs>
          <w:tab w:val="left" w:pos="1200"/>
        </w:tabs>
        <w:spacing w:before="39"/>
        <w:ind w:right="306"/>
        <w:jc w:val="both"/>
      </w:pPr>
      <w:r w:rsidRPr="005669CE">
        <w:rPr>
          <w:lang w:val="fr-FR"/>
        </w:rPr>
        <w:t>Les enfants sélectionnés doivent être invités à sortir de la file pour fournir des échantillons de selles et/ou d’urine.</w:t>
      </w:r>
    </w:p>
    <w:p w14:paraId="4AD6B48B" w14:textId="77777777" w:rsidR="000E2E95" w:rsidRPr="005669CE" w:rsidRDefault="00DB0A1C" w:rsidP="00FB5C68">
      <w:pPr>
        <w:pStyle w:val="ListParagraph"/>
        <w:numPr>
          <w:ilvl w:val="1"/>
          <w:numId w:val="14"/>
        </w:numPr>
        <w:tabs>
          <w:tab w:val="left" w:pos="1200"/>
        </w:tabs>
        <w:spacing w:before="39"/>
        <w:ind w:right="305"/>
        <w:jc w:val="both"/>
      </w:pPr>
      <w:r w:rsidRPr="005669CE">
        <w:rPr>
          <w:lang w:val="fr-FR"/>
        </w:rPr>
        <w:t>Si la taille de l’échantillon cible pour cette classe et ce sexe n’est pas atteinte parce que certains des élèves sélectionnés ne peuvent ou ne veulent pas fournir d’échantillons, d’autres enfants doivent être sélectionnés de manière aléatoire jusqu’à ce que le nombre cible d’échantillons de selles et d’urine pour cette classe et ce genre soit atteint.</w:t>
      </w:r>
    </w:p>
    <w:p w14:paraId="29D922D2" w14:textId="77777777" w:rsidR="000E2E95" w:rsidRPr="005669CE" w:rsidRDefault="00DB0A1C" w:rsidP="003A0626">
      <w:pPr>
        <w:pStyle w:val="BodyText"/>
        <w:ind w:left="0" w:right="305"/>
      </w:pPr>
      <w:r w:rsidRPr="005669CE">
        <w:rPr>
          <w:lang w:val="fr-FR"/>
        </w:rPr>
        <w:t>Une liste des élèves sélectionnés pour participer à l’enquête et fournir un échantillon doit être remise à l’école pour ses archives.</w:t>
      </w:r>
    </w:p>
    <w:p w14:paraId="0A19A277" w14:textId="77777777" w:rsidR="000B27B0" w:rsidRPr="005669CE" w:rsidRDefault="00DB0A1C">
      <w:pPr>
        <w:rPr>
          <w:rFonts w:ascii="Calibri Light" w:eastAsia="Calibri Light" w:hAnsi="Calibri Light" w:cs="Calibri Light"/>
          <w:color w:val="1F3863"/>
          <w:sz w:val="36"/>
          <w:szCs w:val="36"/>
        </w:rPr>
      </w:pPr>
      <w:bookmarkStart w:id="21" w:name="_bookmark10"/>
      <w:bookmarkEnd w:id="21"/>
      <w:r w:rsidRPr="005669CE">
        <w:rPr>
          <w:color w:val="1F3863"/>
          <w:lang w:val="fr-FR"/>
        </w:rPr>
        <w:br w:type="page"/>
      </w:r>
    </w:p>
    <w:p w14:paraId="147A7059" w14:textId="77777777" w:rsidR="000E2E95" w:rsidRPr="005669CE" w:rsidRDefault="00DB0A1C" w:rsidP="003A0626">
      <w:pPr>
        <w:pStyle w:val="Heading1"/>
        <w:tabs>
          <w:tab w:val="left" w:pos="9781"/>
        </w:tabs>
        <w:spacing w:before="0"/>
        <w:ind w:left="0" w:right="163"/>
        <w:jc w:val="both"/>
      </w:pPr>
      <w:bookmarkStart w:id="22" w:name="_Toc181011868"/>
      <w:r w:rsidRPr="005669CE">
        <w:rPr>
          <w:color w:val="1F3863"/>
          <w:lang w:val="fr-FR"/>
        </w:rPr>
        <w:lastRenderedPageBreak/>
        <w:t>Méthodologie d’évaluation – Procédures d’enquête</w:t>
      </w:r>
      <w:bookmarkEnd w:id="22"/>
    </w:p>
    <w:p w14:paraId="3834B3E4" w14:textId="77777777" w:rsidR="000E2E95" w:rsidRPr="005669CE" w:rsidRDefault="00DB0A1C" w:rsidP="003A0626">
      <w:pPr>
        <w:pStyle w:val="Heading6"/>
        <w:tabs>
          <w:tab w:val="left" w:pos="9781"/>
        </w:tabs>
        <w:spacing w:before="157" w:line="259" w:lineRule="auto"/>
        <w:ind w:left="0" w:right="163"/>
        <w:jc w:val="both"/>
      </w:pPr>
      <w:r w:rsidRPr="005669CE">
        <w:rPr>
          <w:lang w:val="fr-FR"/>
        </w:rPr>
        <w:t>Une fois les UEP sélectionnées, les procédures d’enquête sont les mêmes pour les évaluations pratiques et les évaluations de précision, la seule différence étant le nombre d’enfants d’âge scolaire échantillonnés par UEP.</w:t>
      </w:r>
    </w:p>
    <w:p w14:paraId="58E5F616" w14:textId="77777777" w:rsidR="000E2E95" w:rsidRPr="005669CE" w:rsidRDefault="00DB0A1C" w:rsidP="003A0626">
      <w:pPr>
        <w:pStyle w:val="BodyText"/>
        <w:tabs>
          <w:tab w:val="left" w:pos="9639"/>
          <w:tab w:val="left" w:pos="9781"/>
        </w:tabs>
        <w:ind w:left="0" w:right="163"/>
      </w:pPr>
      <w:r w:rsidRPr="005669CE">
        <w:rPr>
          <w:lang w:val="fr-FR"/>
        </w:rPr>
        <w:t>Toutes les UEP sélectionnées (écoles ou villages) doivent être informées à l’avance de la visite de l’équipe chargée de l’enquête afin de s’assurer que la date et l’heure d’arrivée sont propices à la réalisation de l’enquête et au prélèvement d’échantillons auprès des enfants, et que l’autorisation est accordée. Il est important de choisir une période de l’année où les enfants sont le plus susceptibles d’être à l’école (ou à la maison, dans le cas d’une enquête communautaire).</w:t>
      </w:r>
    </w:p>
    <w:p w14:paraId="091E960B" w14:textId="77777777" w:rsidR="000E2E95" w:rsidRPr="005669CE" w:rsidRDefault="00DB0A1C" w:rsidP="003A0626">
      <w:pPr>
        <w:pStyle w:val="BodyText"/>
        <w:tabs>
          <w:tab w:val="left" w:pos="9781"/>
        </w:tabs>
        <w:ind w:left="0" w:right="163"/>
      </w:pPr>
      <w:r w:rsidRPr="005669CE">
        <w:rPr>
          <w:lang w:val="fr-FR"/>
        </w:rPr>
        <w:t>À son arrivée dans une UEP sélectionnée, l’équipe d’enquête doit se présenter au directeur de l’école (ou au responsable du village dans le cas d’une enquête communautaire) et expliquer l’objet de la visite de l’équipe. Les procédures locales décrites pour l’obtention du consentement doivent être suivies. Une fois le consentement du directeur de l’école ou du responsable du village obtenu, l’équipe chargée de l’enquête doit remplir le formulaire relatif au site (</w:t>
      </w:r>
      <w:hyperlink w:anchor="_Site_Level_(School" w:history="1">
        <w:r w:rsidR="005A5E93" w:rsidRPr="005669CE">
          <w:rPr>
            <w:rStyle w:val="Hyperlink"/>
            <w:lang w:val="fr-FR"/>
          </w:rPr>
          <w:t>Annexe 1</w:t>
        </w:r>
      </w:hyperlink>
      <w:r w:rsidRPr="005669CE">
        <w:rPr>
          <w:lang w:val="fr-FR"/>
        </w:rPr>
        <w:t>), y compris l’enregistrement de la localisation géographique du site à l’aide d’un système de positionnement global (GPS) portatif, par exemple un smartphone.</w:t>
      </w:r>
    </w:p>
    <w:p w14:paraId="756ED49F" w14:textId="77777777" w:rsidR="000E2E95" w:rsidRPr="005669CE" w:rsidRDefault="00DB0A1C" w:rsidP="003A0626">
      <w:pPr>
        <w:pStyle w:val="BodyText"/>
        <w:tabs>
          <w:tab w:val="left" w:pos="9781"/>
        </w:tabs>
        <w:ind w:left="0" w:right="163"/>
      </w:pPr>
      <w:r w:rsidRPr="005669CE">
        <w:rPr>
          <w:lang w:val="fr-FR"/>
        </w:rPr>
        <w:t>L’équipe chargée de l’enquête doit ensuite suivre les étapes décrites dans la section « </w:t>
      </w:r>
      <w:hyperlink w:anchor="_Selecting_Children_for" w:history="1">
        <w:r w:rsidRPr="005669CE">
          <w:rPr>
            <w:rStyle w:val="Hyperlink"/>
            <w:lang w:val="fr-FR"/>
          </w:rPr>
          <w:t>Sélection des enfants à inclure</w:t>
        </w:r>
      </w:hyperlink>
      <w:r w:rsidRPr="005669CE">
        <w:rPr>
          <w:lang w:val="fr-FR"/>
        </w:rPr>
        <w:t> » de la méthodologie d’échantillonnage pour sélectionner de manière aléatoire les enfants en âge de participer à l’enquête, sous la supervision du responsable d’établissement ou d’un membre du personnel de l’école, tel que le professeur spécialisé en santé. Ces enfants doivent ensuite être inscrits à l’enquête au moyen du formulaire de saisie des données des participants (</w:t>
      </w:r>
      <w:hyperlink w:anchor="_Participant_Data_Entry" w:history="1">
        <w:r w:rsidRPr="005669CE">
          <w:rPr>
            <w:rStyle w:val="Hyperlink"/>
            <w:lang w:val="fr-FR"/>
          </w:rPr>
          <w:t>Annexe 1</w:t>
        </w:r>
      </w:hyperlink>
      <w:r w:rsidRPr="005669CE">
        <w:rPr>
          <w:lang w:val="fr-FR"/>
        </w:rPr>
        <w:t>) et recevoir des instructions pour fournir un échantillon d’urine et/ou de selles le jour de l’enquête. Les échantillons seront traités le jour même sur place ou dans un lieu proche par l’équipe (parasitologique) de l’enquête.</w:t>
      </w:r>
    </w:p>
    <w:p w14:paraId="37DFD38B" w14:textId="77777777" w:rsidR="000E2E95" w:rsidRPr="005669CE" w:rsidRDefault="00DB0A1C" w:rsidP="003A0626">
      <w:pPr>
        <w:pStyle w:val="Heading3"/>
        <w:tabs>
          <w:tab w:val="left" w:pos="9781"/>
        </w:tabs>
        <w:spacing w:before="241"/>
        <w:ind w:left="0" w:right="163"/>
        <w:jc w:val="both"/>
      </w:pPr>
      <w:r w:rsidRPr="005669CE">
        <w:rPr>
          <w:color w:val="4471C4"/>
          <w:lang w:val="fr-FR"/>
        </w:rPr>
        <w:t>Procédures de laboratoire</w:t>
      </w:r>
    </w:p>
    <w:p w14:paraId="20C35809" w14:textId="77777777" w:rsidR="000E2E95" w:rsidRPr="005669CE" w:rsidRDefault="00DB0A1C" w:rsidP="003A0626">
      <w:pPr>
        <w:pStyle w:val="BodyText"/>
        <w:tabs>
          <w:tab w:val="left" w:pos="9781"/>
        </w:tabs>
        <w:ind w:left="0" w:right="163"/>
      </w:pPr>
      <w:r w:rsidRPr="005669CE">
        <w:rPr>
          <w:lang w:val="fr-FR"/>
        </w:rPr>
        <w:t xml:space="preserve">Chaque échantillon prélevé doit être étiqueté avec un numéro d’identification unique (voir la section </w:t>
      </w:r>
      <w:hyperlink w:anchor="_Data_Management" w:history="1">
        <w:r w:rsidRPr="005669CE">
          <w:rPr>
            <w:rStyle w:val="Hyperlink"/>
            <w:lang w:val="fr-FR"/>
          </w:rPr>
          <w:t>Gestion des données</w:t>
        </w:r>
      </w:hyperlink>
      <w:r w:rsidRPr="005669CE">
        <w:rPr>
          <w:lang w:val="fr-FR"/>
        </w:rPr>
        <w:t>). Les échantillons de selles et d’urine doivent être examinés conformément aux modes opératoires normalisés (MON) pour la détection des œufs et les bandelettes urinaires (</w:t>
      </w:r>
      <w:hyperlink w:anchor="_Appendix_3:_Hemastix" w:history="1">
        <w:r w:rsidRPr="005669CE">
          <w:rPr>
            <w:rStyle w:val="Hyperlink"/>
            <w:lang w:val="fr-FR"/>
          </w:rPr>
          <w:t>Annexes 3 à 5</w:t>
        </w:r>
      </w:hyperlink>
      <w:r w:rsidRPr="005669CE">
        <w:rPr>
          <w:lang w:val="fr-FR"/>
        </w:rPr>
        <w:t>) et l’intensité de chaque infection doit être exprimée en œufs par lame et en œufs par 10 ml. Pour préserver la confidentialité, les techniciens de laboratoire testeront les échantillons et enregistreront les résultats en utilisant les identifiants des participants et les numéros d’échantillons associés.</w:t>
      </w:r>
    </w:p>
    <w:p w14:paraId="01151143" w14:textId="77777777" w:rsidR="000E2E95" w:rsidRPr="005669CE" w:rsidRDefault="00DB0A1C" w:rsidP="003A0626">
      <w:pPr>
        <w:pStyle w:val="Heading3"/>
        <w:tabs>
          <w:tab w:val="left" w:pos="9923"/>
        </w:tabs>
        <w:spacing w:before="238"/>
        <w:ind w:left="0"/>
        <w:jc w:val="both"/>
      </w:pPr>
      <w:r w:rsidRPr="005669CE">
        <w:rPr>
          <w:color w:val="4471C4"/>
          <w:lang w:val="fr-FR"/>
        </w:rPr>
        <w:t>Résultats de l’enquête</w:t>
      </w:r>
    </w:p>
    <w:p w14:paraId="2043EF77" w14:textId="77777777" w:rsidR="000E2E95" w:rsidRPr="005669CE" w:rsidRDefault="00DB0A1C" w:rsidP="003A0626">
      <w:pPr>
        <w:pStyle w:val="BodyText"/>
        <w:ind w:left="0"/>
      </w:pPr>
      <w:r w:rsidRPr="005669CE">
        <w:rPr>
          <w:lang w:val="fr-FR"/>
        </w:rPr>
        <w:t>Les éléments suivants devraient être mesurés :</w:t>
      </w:r>
    </w:p>
    <w:p w14:paraId="69465D94" w14:textId="77777777" w:rsidR="000E2E95" w:rsidRPr="005669CE" w:rsidRDefault="00DB0A1C" w:rsidP="003B7FF9">
      <w:pPr>
        <w:pStyle w:val="ListParagraph"/>
        <w:numPr>
          <w:ilvl w:val="0"/>
          <w:numId w:val="13"/>
        </w:numPr>
        <w:tabs>
          <w:tab w:val="left" w:pos="833"/>
        </w:tabs>
        <w:spacing w:before="80"/>
        <w:ind w:left="459" w:right="164" w:hanging="357"/>
        <w:jc w:val="both"/>
      </w:pPr>
      <w:proofErr w:type="spellStart"/>
      <w:r w:rsidRPr="005669CE">
        <w:rPr>
          <w:b/>
          <w:bCs/>
          <w:i/>
          <w:iCs/>
          <w:lang w:val="fr-FR"/>
        </w:rPr>
        <w:t>Schistosoma</w:t>
      </w:r>
      <w:proofErr w:type="spellEnd"/>
      <w:r w:rsidRPr="005669CE">
        <w:rPr>
          <w:b/>
          <w:bCs/>
          <w:i/>
          <w:iCs/>
          <w:lang w:val="fr-FR"/>
        </w:rPr>
        <w:t xml:space="preserve"> </w:t>
      </w:r>
      <w:proofErr w:type="spellStart"/>
      <w:r w:rsidRPr="005669CE">
        <w:rPr>
          <w:b/>
          <w:bCs/>
          <w:i/>
          <w:iCs/>
          <w:lang w:val="fr-FR"/>
        </w:rPr>
        <w:t>haematobium</w:t>
      </w:r>
      <w:proofErr w:type="spellEnd"/>
      <w:r w:rsidRPr="005669CE">
        <w:rPr>
          <w:lang w:val="fr-FR"/>
        </w:rPr>
        <w:t> : œufs par 10 ml d’urine en utilisant la méthode de filtration de l’urine (1 diapositive)</w:t>
      </w:r>
    </w:p>
    <w:p w14:paraId="4B80E8B2" w14:textId="77777777" w:rsidR="000E2E95" w:rsidRPr="005669CE" w:rsidRDefault="00DB0A1C" w:rsidP="00567A9C">
      <w:pPr>
        <w:pStyle w:val="ListParagraph"/>
        <w:numPr>
          <w:ilvl w:val="0"/>
          <w:numId w:val="13"/>
        </w:numPr>
        <w:tabs>
          <w:tab w:val="left" w:pos="833"/>
        </w:tabs>
        <w:spacing w:before="101"/>
        <w:ind w:right="163" w:hanging="355"/>
        <w:jc w:val="both"/>
      </w:pPr>
      <w:proofErr w:type="spellStart"/>
      <w:r w:rsidRPr="005669CE">
        <w:rPr>
          <w:b/>
          <w:bCs/>
          <w:lang w:val="fr-FR"/>
        </w:rPr>
        <w:t>Microhaematuria</w:t>
      </w:r>
      <w:proofErr w:type="spellEnd"/>
      <w:r w:rsidRPr="005669CE">
        <w:rPr>
          <w:lang w:val="fr-FR"/>
        </w:rPr>
        <w:t> : Nombre d’enfants présentant une hématurie microscopique détectée à l’aide d’une bandelette réactive</w:t>
      </w:r>
    </w:p>
    <w:p w14:paraId="2B6BC271" w14:textId="77777777" w:rsidR="000E2E95" w:rsidRPr="005669CE" w:rsidRDefault="00DB0A1C" w:rsidP="00567A9C">
      <w:pPr>
        <w:pStyle w:val="ListParagraph"/>
        <w:numPr>
          <w:ilvl w:val="0"/>
          <w:numId w:val="13"/>
        </w:numPr>
        <w:tabs>
          <w:tab w:val="left" w:pos="833"/>
        </w:tabs>
        <w:spacing w:before="80" w:line="259" w:lineRule="auto"/>
        <w:ind w:right="163"/>
        <w:jc w:val="both"/>
      </w:pPr>
      <w:proofErr w:type="spellStart"/>
      <w:r w:rsidRPr="005669CE">
        <w:rPr>
          <w:b/>
          <w:bCs/>
          <w:i/>
          <w:iCs/>
          <w:lang w:val="fr-FR"/>
        </w:rPr>
        <w:t>Schistosoma</w:t>
      </w:r>
      <w:proofErr w:type="spellEnd"/>
      <w:r w:rsidRPr="005669CE">
        <w:rPr>
          <w:b/>
          <w:bCs/>
          <w:i/>
          <w:iCs/>
          <w:lang w:val="fr-FR"/>
        </w:rPr>
        <w:t xml:space="preserve"> </w:t>
      </w:r>
      <w:proofErr w:type="spellStart"/>
      <w:r w:rsidRPr="005669CE">
        <w:rPr>
          <w:b/>
          <w:bCs/>
          <w:i/>
          <w:iCs/>
          <w:lang w:val="fr-FR"/>
        </w:rPr>
        <w:t>mansoni</w:t>
      </w:r>
      <w:proofErr w:type="spellEnd"/>
      <w:r w:rsidRPr="005669CE">
        <w:rPr>
          <w:lang w:val="fr-FR"/>
        </w:rPr>
        <w:t> : œufs par gramme de matières fécales selon la méthode de Kato-Katz (2 lames, A et B lues le jour 1)</w:t>
      </w:r>
    </w:p>
    <w:p w14:paraId="600F315B" w14:textId="77777777" w:rsidR="000E2E95" w:rsidRPr="005669CE" w:rsidRDefault="00DB0A1C" w:rsidP="00567A9C">
      <w:pPr>
        <w:pStyle w:val="ListParagraph"/>
        <w:numPr>
          <w:ilvl w:val="0"/>
          <w:numId w:val="13"/>
        </w:numPr>
        <w:tabs>
          <w:tab w:val="left" w:pos="833"/>
        </w:tabs>
        <w:spacing w:before="80" w:line="256" w:lineRule="auto"/>
        <w:ind w:right="163"/>
        <w:jc w:val="both"/>
      </w:pPr>
      <w:r w:rsidRPr="005669CE">
        <w:rPr>
          <w:b/>
          <w:bCs/>
          <w:lang w:val="fr-FR"/>
        </w:rPr>
        <w:t xml:space="preserve">Ankylostome </w:t>
      </w:r>
      <w:r w:rsidRPr="005669CE">
        <w:rPr>
          <w:lang w:val="fr-FR"/>
        </w:rPr>
        <w:t>(</w:t>
      </w:r>
      <w:proofErr w:type="spellStart"/>
      <w:r w:rsidRPr="005669CE">
        <w:rPr>
          <w:i/>
          <w:iCs/>
          <w:lang w:val="fr-FR"/>
        </w:rPr>
        <w:t>Ancylostoma</w:t>
      </w:r>
      <w:proofErr w:type="spellEnd"/>
      <w:r w:rsidRPr="005669CE">
        <w:rPr>
          <w:i/>
          <w:iCs/>
          <w:lang w:val="fr-FR"/>
        </w:rPr>
        <w:t xml:space="preserve"> </w:t>
      </w:r>
      <w:proofErr w:type="spellStart"/>
      <w:r w:rsidRPr="005669CE">
        <w:rPr>
          <w:i/>
          <w:iCs/>
          <w:lang w:val="fr-FR"/>
        </w:rPr>
        <w:t>duodenale</w:t>
      </w:r>
      <w:proofErr w:type="spellEnd"/>
      <w:r w:rsidRPr="005669CE">
        <w:rPr>
          <w:i/>
          <w:iCs/>
          <w:lang w:val="fr-FR"/>
        </w:rPr>
        <w:t xml:space="preserve">, </w:t>
      </w:r>
      <w:proofErr w:type="spellStart"/>
      <w:r w:rsidRPr="005669CE">
        <w:rPr>
          <w:i/>
          <w:iCs/>
          <w:lang w:val="fr-FR"/>
        </w:rPr>
        <w:t>Necator</w:t>
      </w:r>
      <w:proofErr w:type="spellEnd"/>
      <w:r w:rsidRPr="005669CE">
        <w:rPr>
          <w:i/>
          <w:iCs/>
          <w:lang w:val="fr-FR"/>
        </w:rPr>
        <w:t xml:space="preserve"> </w:t>
      </w:r>
      <w:proofErr w:type="spellStart"/>
      <w:r w:rsidRPr="005669CE">
        <w:rPr>
          <w:i/>
          <w:iCs/>
          <w:lang w:val="fr-FR"/>
        </w:rPr>
        <w:t>americanus</w:t>
      </w:r>
      <w:proofErr w:type="spellEnd"/>
      <w:r w:rsidRPr="005669CE">
        <w:rPr>
          <w:lang w:val="fr-FR"/>
        </w:rPr>
        <w:t xml:space="preserve">) : œufs par gramme de matières fécales en </w:t>
      </w:r>
      <w:r w:rsidRPr="005669CE">
        <w:rPr>
          <w:lang w:val="fr-FR"/>
        </w:rPr>
        <w:lastRenderedPageBreak/>
        <w:t>utilisant la méthode de Kato-Katz (2 lames, A et B lues le jour 1)</w:t>
      </w:r>
    </w:p>
    <w:p w14:paraId="41E554C3" w14:textId="77777777" w:rsidR="000E2E95" w:rsidRPr="005669CE" w:rsidRDefault="00DB0A1C" w:rsidP="00567A9C">
      <w:pPr>
        <w:pStyle w:val="ListParagraph"/>
        <w:numPr>
          <w:ilvl w:val="0"/>
          <w:numId w:val="13"/>
        </w:numPr>
        <w:tabs>
          <w:tab w:val="left" w:pos="833"/>
        </w:tabs>
        <w:spacing w:before="83"/>
        <w:ind w:right="163" w:hanging="355"/>
        <w:jc w:val="both"/>
      </w:pPr>
      <w:r w:rsidRPr="005669CE">
        <w:rPr>
          <w:b/>
          <w:bCs/>
          <w:i/>
          <w:iCs/>
          <w:lang w:val="fr-FR"/>
        </w:rPr>
        <w:t xml:space="preserve">Ascaris </w:t>
      </w:r>
      <w:proofErr w:type="gramStart"/>
      <w:r w:rsidRPr="005669CE">
        <w:rPr>
          <w:b/>
          <w:bCs/>
          <w:i/>
          <w:iCs/>
          <w:lang w:val="fr-FR"/>
        </w:rPr>
        <w:t xml:space="preserve">lombricoïdes </w:t>
      </w:r>
      <w:r w:rsidRPr="005669CE">
        <w:rPr>
          <w:lang w:val="fr-FR"/>
        </w:rPr>
        <w:t> :</w:t>
      </w:r>
      <w:proofErr w:type="gramEnd"/>
      <w:r w:rsidRPr="005669CE">
        <w:rPr>
          <w:lang w:val="fr-FR"/>
        </w:rPr>
        <w:t xml:space="preserve"> œufs par gramme de matières fécales en utilisant la méthode de Kato-Katz (2 lames, A et B lues le jour 1)</w:t>
      </w:r>
    </w:p>
    <w:p w14:paraId="15F19B7A" w14:textId="77777777" w:rsidR="000E2E95" w:rsidRPr="005669CE" w:rsidRDefault="00DB0A1C" w:rsidP="00567A9C">
      <w:pPr>
        <w:pStyle w:val="ListParagraph"/>
        <w:numPr>
          <w:ilvl w:val="0"/>
          <w:numId w:val="13"/>
        </w:numPr>
        <w:tabs>
          <w:tab w:val="left" w:pos="833"/>
        </w:tabs>
        <w:spacing w:before="101" w:line="259" w:lineRule="auto"/>
        <w:ind w:right="163"/>
        <w:jc w:val="both"/>
      </w:pPr>
      <w:proofErr w:type="spellStart"/>
      <w:r w:rsidRPr="005669CE">
        <w:rPr>
          <w:b/>
          <w:bCs/>
          <w:i/>
          <w:iCs/>
          <w:lang w:val="fr-FR"/>
        </w:rPr>
        <w:t>Trichuris</w:t>
      </w:r>
      <w:proofErr w:type="spellEnd"/>
      <w:r w:rsidRPr="005669CE">
        <w:rPr>
          <w:b/>
          <w:bCs/>
          <w:i/>
          <w:iCs/>
          <w:lang w:val="fr-FR"/>
        </w:rPr>
        <w:t xml:space="preserve"> </w:t>
      </w:r>
      <w:proofErr w:type="spellStart"/>
      <w:r w:rsidRPr="005669CE">
        <w:rPr>
          <w:b/>
          <w:bCs/>
          <w:i/>
          <w:iCs/>
          <w:lang w:val="fr-FR"/>
        </w:rPr>
        <w:t>trichiura</w:t>
      </w:r>
      <w:proofErr w:type="spellEnd"/>
      <w:r w:rsidRPr="005669CE">
        <w:rPr>
          <w:lang w:val="fr-FR"/>
        </w:rPr>
        <w:t> : œufs par gramme de matières fécales selon la méthode de Kato-Katz (2 lames, A et B lues le jour 1)</w:t>
      </w:r>
    </w:p>
    <w:p w14:paraId="70E65A9A" w14:textId="77777777" w:rsidR="000E2E95" w:rsidRPr="005669CE" w:rsidRDefault="00DB0A1C" w:rsidP="000672F1">
      <w:pPr>
        <w:pStyle w:val="ListParagraph"/>
        <w:numPr>
          <w:ilvl w:val="0"/>
          <w:numId w:val="13"/>
        </w:numPr>
        <w:tabs>
          <w:tab w:val="left" w:pos="840"/>
        </w:tabs>
        <w:spacing w:before="80"/>
        <w:ind w:right="163"/>
        <w:jc w:val="both"/>
      </w:pPr>
      <w:r w:rsidRPr="005669CE">
        <w:rPr>
          <w:b/>
          <w:bCs/>
          <w:lang w:val="fr-FR"/>
        </w:rPr>
        <w:t xml:space="preserve">Composition démographique </w:t>
      </w:r>
      <w:r w:rsidRPr="005669CE">
        <w:rPr>
          <w:lang w:val="fr-FR"/>
        </w:rPr>
        <w:t>(âge et sexe) des individus sélectionnés.</w:t>
      </w:r>
    </w:p>
    <w:p w14:paraId="502ECA7E" w14:textId="77777777" w:rsidR="000E2E95" w:rsidRPr="005669CE" w:rsidRDefault="00DB0A1C" w:rsidP="000672F1">
      <w:pPr>
        <w:pStyle w:val="ListParagraph"/>
        <w:numPr>
          <w:ilvl w:val="0"/>
          <w:numId w:val="13"/>
        </w:numPr>
        <w:tabs>
          <w:tab w:val="left" w:pos="840"/>
        </w:tabs>
        <w:spacing w:before="102"/>
        <w:jc w:val="both"/>
      </w:pPr>
      <w:r w:rsidRPr="005669CE">
        <w:rPr>
          <w:b/>
          <w:bCs/>
          <w:lang w:val="fr-FR"/>
        </w:rPr>
        <w:t xml:space="preserve">Comportements au contact de l’eau </w:t>
      </w:r>
      <w:r w:rsidRPr="005669CE">
        <w:rPr>
          <w:lang w:val="fr-FR"/>
        </w:rPr>
        <w:t>des individus sélectionnés.</w:t>
      </w:r>
    </w:p>
    <w:p w14:paraId="2E1B2A0D" w14:textId="77777777" w:rsidR="000E2E95" w:rsidRPr="005669CE" w:rsidRDefault="00DB0A1C" w:rsidP="00CE74C2">
      <w:pPr>
        <w:pStyle w:val="ListParagraph"/>
        <w:numPr>
          <w:ilvl w:val="0"/>
          <w:numId w:val="13"/>
        </w:numPr>
        <w:tabs>
          <w:tab w:val="left" w:pos="833"/>
        </w:tabs>
        <w:spacing w:before="102"/>
        <w:ind w:hanging="355"/>
        <w:jc w:val="both"/>
        <w:rPr>
          <w:b/>
        </w:rPr>
      </w:pPr>
      <w:r w:rsidRPr="005669CE">
        <w:rPr>
          <w:b/>
          <w:bCs/>
          <w:lang w:val="fr-FR"/>
        </w:rPr>
        <w:t>Informations sur l’école</w:t>
      </w:r>
    </w:p>
    <w:p w14:paraId="63290C3D" w14:textId="77777777" w:rsidR="000E2E95" w:rsidRPr="005669CE" w:rsidRDefault="00DB0A1C" w:rsidP="003A0626">
      <w:pPr>
        <w:pStyle w:val="Heading2"/>
        <w:ind w:left="0"/>
      </w:pPr>
      <w:bookmarkStart w:id="23" w:name="_bookmark11"/>
      <w:bookmarkStart w:id="24" w:name="_Toc181011869"/>
      <w:bookmarkEnd w:id="23"/>
      <w:r w:rsidRPr="005669CE">
        <w:rPr>
          <w:lang w:val="fr-FR"/>
        </w:rPr>
        <w:t>Prélèvement d’échantillons, tests de diagnostic et traitement</w:t>
      </w:r>
      <w:bookmarkEnd w:id="24"/>
    </w:p>
    <w:p w14:paraId="38C75FFF" w14:textId="77777777" w:rsidR="000E2E95" w:rsidRPr="005669CE" w:rsidRDefault="00DB0A1C" w:rsidP="003A0626">
      <w:pPr>
        <w:pStyle w:val="Heading3"/>
        <w:spacing w:before="240"/>
        <w:ind w:left="0"/>
        <w:jc w:val="both"/>
      </w:pPr>
      <w:r w:rsidRPr="005669CE">
        <w:rPr>
          <w:color w:val="4471C4"/>
          <w:lang w:val="fr-FR"/>
        </w:rPr>
        <w:t>Prélèvement d’urine</w:t>
      </w:r>
    </w:p>
    <w:p w14:paraId="53BA7953" w14:textId="77777777" w:rsidR="000E2E95" w:rsidRPr="005669CE" w:rsidRDefault="00DB0A1C" w:rsidP="00AB1F3C">
      <w:pPr>
        <w:pStyle w:val="BodyText"/>
        <w:tabs>
          <w:tab w:val="left" w:pos="9781"/>
        </w:tabs>
        <w:ind w:left="0" w:right="306"/>
      </w:pPr>
      <w:r w:rsidRPr="005669CE">
        <w:rPr>
          <w:lang w:val="fr-FR"/>
        </w:rPr>
        <w:t xml:space="preserve">Dans les régions où </w:t>
      </w:r>
      <w:r w:rsidRPr="005669CE">
        <w:rPr>
          <w:i/>
          <w:iCs/>
          <w:lang w:val="fr-FR"/>
        </w:rPr>
        <w:t xml:space="preserve">S. </w:t>
      </w:r>
      <w:proofErr w:type="spellStart"/>
      <w:proofErr w:type="gramStart"/>
      <w:r w:rsidRPr="005669CE">
        <w:rPr>
          <w:i/>
          <w:iCs/>
          <w:lang w:val="fr-FR"/>
        </w:rPr>
        <w:t>haematobium</w:t>
      </w:r>
      <w:proofErr w:type="spellEnd"/>
      <w:r w:rsidRPr="005669CE">
        <w:rPr>
          <w:i/>
          <w:iCs/>
          <w:lang w:val="fr-FR"/>
        </w:rPr>
        <w:t xml:space="preserve"> </w:t>
      </w:r>
      <w:r w:rsidRPr="005669CE">
        <w:rPr>
          <w:lang w:val="fr-FR"/>
        </w:rPr>
        <w:t xml:space="preserve"> est</w:t>
      </w:r>
      <w:proofErr w:type="gramEnd"/>
      <w:r w:rsidRPr="005669CE">
        <w:rPr>
          <w:lang w:val="fr-FR"/>
        </w:rPr>
        <w:t xml:space="preserve"> endémique, tous les enfants inscrits doivent être invités à fournir un échantillon d’urine. Cet échantillon sera testé à l’aide de bandelettes urinaires (</w:t>
      </w:r>
      <w:proofErr w:type="spellStart"/>
      <w:r w:rsidRPr="005669CE">
        <w:rPr>
          <w:lang w:val="fr-FR"/>
        </w:rPr>
        <w:t>Hemastix</w:t>
      </w:r>
      <w:proofErr w:type="spellEnd"/>
      <w:r w:rsidRPr="005669CE">
        <w:rPr>
          <w:lang w:val="fr-FR"/>
        </w:rPr>
        <w:t xml:space="preserve"> et filtration de l’urine). Voir l’</w:t>
      </w:r>
      <w:hyperlink w:anchor="_bookmark32" w:history="1">
        <w:r w:rsidR="00C0448E" w:rsidRPr="005669CE">
          <w:rPr>
            <w:rStyle w:val="Hyperlink"/>
            <w:lang w:val="fr-FR"/>
          </w:rPr>
          <w:t>annexe 3</w:t>
        </w:r>
      </w:hyperlink>
      <w:r w:rsidRPr="005669CE">
        <w:rPr>
          <w:lang w:val="fr-FR"/>
        </w:rPr>
        <w:t xml:space="preserve"> et l’</w:t>
      </w:r>
      <w:hyperlink w:anchor="_Appendix_4:_Urine" w:history="1">
        <w:r w:rsidR="00E76090" w:rsidRPr="005669CE">
          <w:rPr>
            <w:rStyle w:val="Hyperlink"/>
            <w:lang w:val="fr-FR"/>
          </w:rPr>
          <w:t>annexe 4</w:t>
        </w:r>
      </w:hyperlink>
      <w:r w:rsidRPr="005669CE">
        <w:rPr>
          <w:lang w:val="fr-FR"/>
        </w:rPr>
        <w:t xml:space="preserve"> pour les procédures opérationnelles standard relatives aux tests de diagnostic urinaire.</w:t>
      </w:r>
    </w:p>
    <w:p w14:paraId="33CD4E21" w14:textId="77777777" w:rsidR="000E2E95" w:rsidRPr="005669CE" w:rsidRDefault="00DB0A1C" w:rsidP="003A0626">
      <w:pPr>
        <w:pStyle w:val="Heading3"/>
        <w:tabs>
          <w:tab w:val="left" w:pos="9781"/>
        </w:tabs>
        <w:ind w:left="0"/>
        <w:jc w:val="both"/>
      </w:pPr>
      <w:r w:rsidRPr="005669CE">
        <w:rPr>
          <w:color w:val="4471C4"/>
          <w:lang w:val="fr-FR"/>
        </w:rPr>
        <w:t>Prélèvement de selles</w:t>
      </w:r>
    </w:p>
    <w:p w14:paraId="663B0DD2" w14:textId="77777777" w:rsidR="000E2E95" w:rsidRPr="005669CE" w:rsidRDefault="00DB0A1C" w:rsidP="00AB1F3C">
      <w:pPr>
        <w:pStyle w:val="BodyText"/>
        <w:tabs>
          <w:tab w:val="left" w:pos="9639"/>
          <w:tab w:val="left" w:pos="9781"/>
        </w:tabs>
        <w:ind w:left="0" w:right="306"/>
      </w:pPr>
      <w:r w:rsidRPr="005669CE">
        <w:rPr>
          <w:lang w:val="fr-FR"/>
        </w:rPr>
        <w:t xml:space="preserve">Dans les contextes où </w:t>
      </w:r>
      <w:r w:rsidRPr="005669CE">
        <w:rPr>
          <w:i/>
          <w:iCs/>
          <w:lang w:val="fr-FR"/>
        </w:rPr>
        <w:t xml:space="preserve">S. </w:t>
      </w:r>
      <w:proofErr w:type="spellStart"/>
      <w:r w:rsidRPr="005669CE">
        <w:rPr>
          <w:i/>
          <w:iCs/>
          <w:lang w:val="fr-FR"/>
        </w:rPr>
        <w:t>mansoni</w:t>
      </w:r>
      <w:proofErr w:type="spellEnd"/>
      <w:r w:rsidRPr="005669CE">
        <w:rPr>
          <w:i/>
          <w:iCs/>
          <w:lang w:val="fr-FR"/>
        </w:rPr>
        <w:t xml:space="preserve"> </w:t>
      </w:r>
      <w:r w:rsidRPr="005669CE">
        <w:rPr>
          <w:lang w:val="fr-FR"/>
        </w:rPr>
        <w:t>est endémique, des échantillons de selles doivent être collectés pour des tests parasitologiques réalisés au moyen de la technique de Kato-Katz. Voir l’</w:t>
      </w:r>
      <w:hyperlink w:anchor="_Appendix_5:_Kato" w:history="1">
        <w:r w:rsidRPr="005669CE">
          <w:rPr>
            <w:rStyle w:val="Hyperlink"/>
            <w:lang w:val="fr-FR"/>
          </w:rPr>
          <w:t>annexe 5</w:t>
        </w:r>
      </w:hyperlink>
      <w:r w:rsidRPr="005669CE">
        <w:rPr>
          <w:lang w:val="fr-FR"/>
        </w:rPr>
        <w:t xml:space="preserve"> pour connaître le mode opératoire normalisé sur la technique de Kato-Katz.</w:t>
      </w:r>
    </w:p>
    <w:p w14:paraId="028E1639" w14:textId="77777777" w:rsidR="000E2E95" w:rsidRPr="005669CE" w:rsidRDefault="00DB0A1C" w:rsidP="003A0626">
      <w:pPr>
        <w:pStyle w:val="Heading3"/>
        <w:tabs>
          <w:tab w:val="left" w:pos="9639"/>
          <w:tab w:val="left" w:pos="9781"/>
        </w:tabs>
        <w:spacing w:before="244" w:after="120"/>
        <w:ind w:left="0"/>
        <w:jc w:val="both"/>
      </w:pPr>
      <w:r w:rsidRPr="005669CE">
        <w:rPr>
          <w:color w:val="4471C4"/>
          <w:lang w:val="fr-FR"/>
        </w:rPr>
        <w:t>Processus de prélèvement d’échantillons</w:t>
      </w:r>
    </w:p>
    <w:p w14:paraId="1FF72F86" w14:textId="77777777" w:rsidR="000E2E95" w:rsidRPr="005669CE" w:rsidRDefault="00DB0A1C" w:rsidP="00AB1F3C">
      <w:pPr>
        <w:pStyle w:val="ListParagraph"/>
        <w:numPr>
          <w:ilvl w:val="0"/>
          <w:numId w:val="12"/>
        </w:numPr>
        <w:tabs>
          <w:tab w:val="left" w:pos="337"/>
          <w:tab w:val="left" w:pos="9639"/>
          <w:tab w:val="left" w:pos="9781"/>
        </w:tabs>
        <w:spacing w:before="159" w:after="240" w:line="259" w:lineRule="auto"/>
        <w:ind w:left="142" w:right="164" w:hanging="142"/>
        <w:jc w:val="both"/>
      </w:pPr>
      <w:r w:rsidRPr="005669CE">
        <w:rPr>
          <w:lang w:val="fr-FR"/>
        </w:rPr>
        <w:t>Chaque étudiant sélectionné doit être invité à consentir verbalement à fournir des échantillons d’urine et de selles (</w:t>
      </w:r>
      <w:hyperlink w:anchor="_Appendix_2:_Information" w:history="1">
        <w:r w:rsidRPr="005669CE">
          <w:rPr>
            <w:rStyle w:val="Hyperlink"/>
            <w:lang w:val="fr-FR"/>
          </w:rPr>
          <w:t>Annexe 2</w:t>
        </w:r>
      </w:hyperlink>
      <w:r w:rsidRPr="005669CE">
        <w:rPr>
          <w:lang w:val="fr-FR"/>
        </w:rPr>
        <w:t>).</w:t>
      </w:r>
    </w:p>
    <w:p w14:paraId="68E6DE9A" w14:textId="77777777" w:rsidR="000E2E95" w:rsidRPr="005669CE" w:rsidRDefault="00DB0A1C" w:rsidP="003A0626">
      <w:pPr>
        <w:pStyle w:val="Heading5"/>
        <w:numPr>
          <w:ilvl w:val="0"/>
          <w:numId w:val="12"/>
        </w:numPr>
        <w:tabs>
          <w:tab w:val="left" w:pos="341"/>
          <w:tab w:val="left" w:pos="9639"/>
          <w:tab w:val="left" w:pos="9781"/>
        </w:tabs>
        <w:spacing w:before="80" w:after="240"/>
        <w:ind w:left="142" w:right="163" w:hanging="142"/>
        <w:jc w:val="both"/>
      </w:pPr>
      <w:r w:rsidRPr="005669CE">
        <w:rPr>
          <w:lang w:val="fr-FR"/>
        </w:rPr>
        <w:t>Les échantillons d’urine doivent être prélevés entre 10 h et 14 h</w:t>
      </w:r>
      <w:r w:rsidRPr="005669CE">
        <w:rPr>
          <w:b w:val="0"/>
          <w:lang w:val="fr-FR"/>
        </w:rPr>
        <w:t>.</w:t>
      </w:r>
    </w:p>
    <w:p w14:paraId="7BF6B041" w14:textId="77777777" w:rsidR="000E2E95" w:rsidRPr="005669CE" w:rsidRDefault="00DB0A1C" w:rsidP="003A0626">
      <w:pPr>
        <w:pStyle w:val="ListParagraph"/>
        <w:numPr>
          <w:ilvl w:val="0"/>
          <w:numId w:val="12"/>
        </w:numPr>
        <w:tabs>
          <w:tab w:val="left" w:pos="337"/>
          <w:tab w:val="left" w:pos="9639"/>
          <w:tab w:val="left" w:pos="9781"/>
        </w:tabs>
        <w:spacing w:before="101" w:after="240" w:line="259" w:lineRule="auto"/>
        <w:ind w:left="142" w:right="163" w:hanging="142"/>
        <w:jc w:val="both"/>
      </w:pPr>
      <w:r w:rsidRPr="005669CE">
        <w:rPr>
          <w:lang w:val="fr-FR"/>
        </w:rPr>
        <w:t>Remettre aux élèves sélectionnés des récipients vides pour l’urine et les selles et leur indiquer comment recueillir des quantités suffisantes d’urine et de selles pour les tests.</w:t>
      </w:r>
    </w:p>
    <w:p w14:paraId="41D4A68C" w14:textId="77777777" w:rsidR="000E2E95" w:rsidRPr="005669CE" w:rsidRDefault="00DB0A1C" w:rsidP="003A0626">
      <w:pPr>
        <w:pStyle w:val="ListParagraph"/>
        <w:numPr>
          <w:ilvl w:val="0"/>
          <w:numId w:val="12"/>
        </w:numPr>
        <w:tabs>
          <w:tab w:val="left" w:pos="337"/>
          <w:tab w:val="left" w:pos="9639"/>
          <w:tab w:val="left" w:pos="9781"/>
        </w:tabs>
        <w:spacing w:before="80" w:after="240" w:line="259" w:lineRule="auto"/>
        <w:ind w:left="142" w:right="163" w:hanging="142"/>
        <w:jc w:val="both"/>
      </w:pPr>
      <w:r w:rsidRPr="005669CE">
        <w:rPr>
          <w:lang w:val="fr-FR"/>
        </w:rPr>
        <w:t>Lorsque l’élève dispose de son échantillon, il doit s’inscrire au bureau d’enregistrement où il se voir attribuer un identifiant (voir la section sur la gestion des données). Les pots d’échantillon seront étiquetés avec l’identifiant et, en utilisant le même identifiant, les données personnelles de l’élève seront collectées sur le formulaire de saisie des données du participant (</w:t>
      </w:r>
      <w:hyperlink w:anchor="_bookmark22" w:history="1">
        <w:r w:rsidRPr="005669CE">
          <w:rPr>
            <w:rStyle w:val="Hyperlink"/>
            <w:lang w:val="fr-FR"/>
          </w:rPr>
          <w:t>annexe 1</w:t>
        </w:r>
      </w:hyperlink>
      <w:r w:rsidRPr="005669CE">
        <w:rPr>
          <w:lang w:val="fr-FR"/>
        </w:rPr>
        <w:t>).</w:t>
      </w:r>
    </w:p>
    <w:p w14:paraId="1606294C" w14:textId="77777777" w:rsidR="000E2E95" w:rsidRPr="005669CE" w:rsidRDefault="00DB0A1C" w:rsidP="003A0626">
      <w:pPr>
        <w:pStyle w:val="ListParagraph"/>
        <w:numPr>
          <w:ilvl w:val="0"/>
          <w:numId w:val="12"/>
        </w:numPr>
        <w:tabs>
          <w:tab w:val="left" w:pos="337"/>
          <w:tab w:val="left" w:pos="9639"/>
          <w:tab w:val="left" w:pos="9781"/>
        </w:tabs>
        <w:spacing w:before="80" w:after="240" w:line="256" w:lineRule="auto"/>
        <w:ind w:left="142" w:right="163" w:hanging="142"/>
        <w:jc w:val="both"/>
      </w:pPr>
      <w:r w:rsidRPr="005669CE">
        <w:rPr>
          <w:lang w:val="fr-FR"/>
        </w:rPr>
        <w:t>Un membre de l’équipe ou l’élève soumet les échantillons au centre de traitement des échantillons où les techniciens traitent les prélèvements d’urine et de selles et recherchent les œufs.</w:t>
      </w:r>
    </w:p>
    <w:p w14:paraId="056AF353" w14:textId="77777777" w:rsidR="000E2E95" w:rsidRPr="005669CE" w:rsidRDefault="00DB0A1C" w:rsidP="003A0626">
      <w:pPr>
        <w:pStyle w:val="ListParagraph"/>
        <w:numPr>
          <w:ilvl w:val="0"/>
          <w:numId w:val="12"/>
        </w:numPr>
        <w:tabs>
          <w:tab w:val="left" w:pos="337"/>
          <w:tab w:val="left" w:pos="9639"/>
          <w:tab w:val="left" w:pos="9781"/>
        </w:tabs>
        <w:spacing w:before="83" w:after="240" w:line="259" w:lineRule="auto"/>
        <w:ind w:left="142" w:right="163" w:hanging="142"/>
        <w:jc w:val="both"/>
        <w:rPr>
          <w:b/>
          <w:bCs/>
        </w:rPr>
      </w:pPr>
      <w:r w:rsidRPr="005669CE">
        <w:rPr>
          <w:lang w:val="fr-FR"/>
        </w:rPr>
        <w:t xml:space="preserve">Tous les échantillons d’urine doivent d’abord être testés à la recherche d’hématurie microscopique, puis filtrés pour y rechercher les œufs, en suivant strictement le MON. </w:t>
      </w:r>
      <w:r w:rsidRPr="005669CE">
        <w:rPr>
          <w:b/>
          <w:bCs/>
          <w:lang w:val="fr-FR"/>
        </w:rPr>
        <w:t xml:space="preserve">La filtration de l’urine doit être effectuée sur tous les échantillons d’urine et pas seulement sur ceux qui sont positifs à l’hématurie microscopique. La filtration de l’urine doit être effectuée sur tous les échantillons d’urine même si moins de 10 ml d’urine ont </w:t>
      </w:r>
      <w:r w:rsidRPr="005669CE">
        <w:rPr>
          <w:b/>
          <w:bCs/>
          <w:lang w:val="fr-FR"/>
        </w:rPr>
        <w:lastRenderedPageBreak/>
        <w:t>été fournis ; le volume (ml) d’urine filtrée doit figurer sur le formulaire d’urine.</w:t>
      </w:r>
    </w:p>
    <w:p w14:paraId="637E12F8" w14:textId="77777777" w:rsidR="00F32013" w:rsidRPr="00F32013" w:rsidRDefault="00DB0A1C" w:rsidP="00AE017E">
      <w:pPr>
        <w:pStyle w:val="ListParagraph"/>
        <w:numPr>
          <w:ilvl w:val="0"/>
          <w:numId w:val="12"/>
        </w:numPr>
        <w:tabs>
          <w:tab w:val="left" w:pos="337"/>
          <w:tab w:val="left" w:pos="9639"/>
          <w:tab w:val="left" w:pos="9781"/>
        </w:tabs>
        <w:spacing w:before="20" w:after="120" w:line="259" w:lineRule="auto"/>
        <w:ind w:left="0" w:right="163" w:hanging="142"/>
        <w:jc w:val="both"/>
        <w:rPr>
          <w:color w:val="4471C4"/>
          <w:spacing w:val="-4"/>
        </w:rPr>
      </w:pPr>
      <w:r w:rsidRPr="00F32013">
        <w:rPr>
          <w:lang w:val="fr-FR"/>
        </w:rPr>
        <w:t>Tous les échantillons de selles doivent être examinés à la recherche d’œufs en se conformant strictement au MON.</w:t>
      </w:r>
    </w:p>
    <w:p w14:paraId="4DCAF21C" w14:textId="77777777" w:rsidR="00F32013" w:rsidRDefault="00F32013" w:rsidP="00F32013">
      <w:pPr>
        <w:pStyle w:val="ListParagraph"/>
        <w:tabs>
          <w:tab w:val="left" w:pos="337"/>
          <w:tab w:val="left" w:pos="9639"/>
          <w:tab w:val="left" w:pos="9781"/>
        </w:tabs>
        <w:spacing w:before="20" w:after="120" w:line="259" w:lineRule="auto"/>
        <w:ind w:left="0" w:right="163" w:firstLine="0"/>
        <w:jc w:val="both"/>
        <w:rPr>
          <w:color w:val="4471C4"/>
          <w:spacing w:val="-4"/>
        </w:rPr>
      </w:pPr>
    </w:p>
    <w:p w14:paraId="5276B04E" w14:textId="0A17CAC7" w:rsidR="00AE017E" w:rsidRPr="00F32013" w:rsidRDefault="00DB0A1C" w:rsidP="00F32013">
      <w:pPr>
        <w:spacing w:before="1"/>
        <w:jc w:val="both"/>
        <w:rPr>
          <w:rFonts w:ascii="Calibri Light"/>
          <w:color w:val="4471C4"/>
          <w:sz w:val="28"/>
          <w:lang w:val="fr-FR"/>
        </w:rPr>
      </w:pPr>
      <w:r w:rsidRPr="00F32013">
        <w:rPr>
          <w:rFonts w:ascii="Calibri Light"/>
          <w:color w:val="4471C4"/>
          <w:sz w:val="28"/>
          <w:lang w:val="fr-FR"/>
        </w:rPr>
        <w:t>Liste de fournitures recommand</w:t>
      </w:r>
      <w:r w:rsidRPr="00F32013">
        <w:rPr>
          <w:rFonts w:ascii="Calibri Light"/>
          <w:color w:val="4471C4"/>
          <w:sz w:val="28"/>
          <w:lang w:val="fr-FR"/>
        </w:rPr>
        <w:t>é</w:t>
      </w:r>
      <w:r w:rsidRPr="00F32013">
        <w:rPr>
          <w:rFonts w:ascii="Calibri Light"/>
          <w:color w:val="4471C4"/>
          <w:sz w:val="28"/>
          <w:lang w:val="fr-FR"/>
        </w:rPr>
        <w:t xml:space="preserve">es pour les </w:t>
      </w:r>
      <w:r w:rsidRPr="00F32013">
        <w:rPr>
          <w:rFonts w:ascii="Calibri Light"/>
          <w:color w:val="4471C4"/>
          <w:sz w:val="28"/>
          <w:lang w:val="fr-FR"/>
        </w:rPr>
        <w:t>é</w:t>
      </w:r>
      <w:r w:rsidRPr="00F32013">
        <w:rPr>
          <w:rFonts w:ascii="Calibri Light"/>
          <w:color w:val="4471C4"/>
          <w:sz w:val="28"/>
          <w:lang w:val="fr-FR"/>
        </w:rPr>
        <w:t>quipes charg</w:t>
      </w:r>
      <w:r w:rsidRPr="00F32013">
        <w:rPr>
          <w:rFonts w:ascii="Calibri Light"/>
          <w:color w:val="4471C4"/>
          <w:sz w:val="28"/>
          <w:lang w:val="fr-FR"/>
        </w:rPr>
        <w:t>é</w:t>
      </w:r>
      <w:r w:rsidRPr="00F32013">
        <w:rPr>
          <w:rFonts w:ascii="Calibri Light"/>
          <w:color w:val="4471C4"/>
          <w:sz w:val="28"/>
          <w:lang w:val="fr-FR"/>
        </w:rPr>
        <w:t>es de la collecte de donn</w:t>
      </w:r>
      <w:r w:rsidRPr="00F32013">
        <w:rPr>
          <w:rFonts w:ascii="Calibri Light"/>
          <w:color w:val="4471C4"/>
          <w:sz w:val="28"/>
          <w:lang w:val="fr-FR"/>
        </w:rPr>
        <w:t>é</w:t>
      </w:r>
      <w:r w:rsidRPr="00F32013">
        <w:rPr>
          <w:rFonts w:ascii="Calibri Light"/>
          <w:color w:val="4471C4"/>
          <w:sz w:val="28"/>
          <w:lang w:val="fr-FR"/>
        </w:rPr>
        <w:t>es</w:t>
      </w:r>
    </w:p>
    <w:tbl>
      <w:tblPr>
        <w:tblW w:w="0" w:type="auto"/>
        <w:tblInd w:w="150" w:type="dxa"/>
        <w:tblLayout w:type="fixed"/>
        <w:tblCellMar>
          <w:left w:w="0" w:type="dxa"/>
          <w:right w:w="0" w:type="dxa"/>
        </w:tblCellMar>
        <w:tblLook w:val="01E0" w:firstRow="1" w:lastRow="1" w:firstColumn="1" w:lastColumn="1" w:noHBand="0" w:noVBand="0"/>
      </w:tblPr>
      <w:tblGrid>
        <w:gridCol w:w="4666"/>
        <w:gridCol w:w="4666"/>
      </w:tblGrid>
      <w:tr w:rsidR="000C10E3" w14:paraId="5F09B452" w14:textId="77777777">
        <w:trPr>
          <w:trHeight w:val="301"/>
        </w:trPr>
        <w:tc>
          <w:tcPr>
            <w:tcW w:w="4666" w:type="dxa"/>
            <w:tcBorders>
              <w:top w:val="single" w:sz="12" w:space="0" w:color="000000"/>
              <w:left w:val="single" w:sz="12" w:space="0" w:color="000000"/>
              <w:bottom w:val="single" w:sz="12" w:space="0" w:color="000000"/>
              <w:right w:val="single" w:sz="4" w:space="0" w:color="000000"/>
            </w:tcBorders>
          </w:tcPr>
          <w:p w14:paraId="2E56887D" w14:textId="77777777" w:rsidR="000E2E95" w:rsidRPr="005669CE" w:rsidRDefault="00DB0A1C" w:rsidP="00CE74C2">
            <w:pPr>
              <w:pStyle w:val="TableParagraph"/>
              <w:spacing w:line="267" w:lineRule="exact"/>
              <w:ind w:left="107"/>
              <w:jc w:val="both"/>
              <w:rPr>
                <w:b/>
              </w:rPr>
            </w:pPr>
            <w:r w:rsidRPr="005669CE">
              <w:rPr>
                <w:b/>
                <w:bCs/>
                <w:lang w:val="fr-FR"/>
              </w:rPr>
              <w:t>Saisie de données et fournitures complémentaires</w:t>
            </w:r>
          </w:p>
        </w:tc>
        <w:tc>
          <w:tcPr>
            <w:tcW w:w="4666" w:type="dxa"/>
            <w:tcBorders>
              <w:top w:val="single" w:sz="12" w:space="0" w:color="000000"/>
              <w:left w:val="single" w:sz="4" w:space="0" w:color="000000"/>
              <w:bottom w:val="single" w:sz="12" w:space="0" w:color="000000"/>
              <w:right w:val="single" w:sz="12" w:space="0" w:color="000000"/>
            </w:tcBorders>
          </w:tcPr>
          <w:p w14:paraId="48BEE951" w14:textId="77777777" w:rsidR="000E2E95" w:rsidRPr="005669CE" w:rsidRDefault="00DB0A1C" w:rsidP="00CE74C2">
            <w:pPr>
              <w:pStyle w:val="TableParagraph"/>
              <w:spacing w:line="267" w:lineRule="exact"/>
              <w:ind w:left="117"/>
              <w:jc w:val="both"/>
              <w:rPr>
                <w:b/>
              </w:rPr>
            </w:pPr>
            <w:r w:rsidRPr="005669CE">
              <w:rPr>
                <w:b/>
                <w:bCs/>
                <w:lang w:val="fr-FR"/>
              </w:rPr>
              <w:t>Élimination des déchets</w:t>
            </w:r>
          </w:p>
        </w:tc>
      </w:tr>
      <w:tr w:rsidR="000C10E3" w14:paraId="410607CC" w14:textId="77777777">
        <w:trPr>
          <w:trHeight w:val="302"/>
        </w:trPr>
        <w:tc>
          <w:tcPr>
            <w:tcW w:w="4666" w:type="dxa"/>
            <w:tcBorders>
              <w:top w:val="single" w:sz="12" w:space="0" w:color="000000"/>
              <w:left w:val="single" w:sz="12" w:space="0" w:color="000000"/>
            </w:tcBorders>
          </w:tcPr>
          <w:p w14:paraId="12579D36" w14:textId="77777777" w:rsidR="000E2E95" w:rsidRPr="005669CE" w:rsidRDefault="00DB0A1C" w:rsidP="00CE74C2">
            <w:pPr>
              <w:pStyle w:val="TableParagraph"/>
              <w:spacing w:line="267" w:lineRule="exact"/>
              <w:ind w:left="107"/>
              <w:jc w:val="both"/>
            </w:pPr>
            <w:r w:rsidRPr="005669CE">
              <w:rPr>
                <w:lang w:val="fr-FR"/>
              </w:rPr>
              <w:t>Smartphones/Tablettes</w:t>
            </w:r>
          </w:p>
        </w:tc>
        <w:tc>
          <w:tcPr>
            <w:tcW w:w="4666" w:type="dxa"/>
            <w:tcBorders>
              <w:top w:val="single" w:sz="12" w:space="0" w:color="000000"/>
              <w:right w:val="single" w:sz="12" w:space="0" w:color="000000"/>
            </w:tcBorders>
          </w:tcPr>
          <w:p w14:paraId="4636D7EA" w14:textId="77777777" w:rsidR="000E2E95" w:rsidRPr="005669CE" w:rsidRDefault="00DB0A1C" w:rsidP="00CE74C2">
            <w:pPr>
              <w:pStyle w:val="TableParagraph"/>
              <w:spacing w:line="267" w:lineRule="exact"/>
              <w:ind w:left="122"/>
              <w:jc w:val="both"/>
            </w:pPr>
            <w:r w:rsidRPr="005669CE">
              <w:rPr>
                <w:lang w:val="fr-FR"/>
              </w:rPr>
              <w:t>Seau(x) pour l’élimination de l’urine</w:t>
            </w:r>
          </w:p>
        </w:tc>
      </w:tr>
      <w:tr w:rsidR="000C10E3" w14:paraId="2378061D" w14:textId="77777777">
        <w:trPr>
          <w:trHeight w:val="300"/>
        </w:trPr>
        <w:tc>
          <w:tcPr>
            <w:tcW w:w="4666" w:type="dxa"/>
            <w:tcBorders>
              <w:left w:val="single" w:sz="12" w:space="0" w:color="000000"/>
            </w:tcBorders>
          </w:tcPr>
          <w:p w14:paraId="1F65E425" w14:textId="77777777" w:rsidR="000E2E95" w:rsidRPr="005669CE" w:rsidRDefault="00DB0A1C" w:rsidP="00CE74C2">
            <w:pPr>
              <w:pStyle w:val="TableParagraph"/>
              <w:spacing w:line="264" w:lineRule="exact"/>
              <w:ind w:left="107"/>
              <w:jc w:val="both"/>
            </w:pPr>
            <w:r w:rsidRPr="005669CE">
              <w:rPr>
                <w:lang w:val="fr-FR"/>
              </w:rPr>
              <w:t>Chargeurs</w:t>
            </w:r>
          </w:p>
        </w:tc>
        <w:tc>
          <w:tcPr>
            <w:tcW w:w="4666" w:type="dxa"/>
            <w:tcBorders>
              <w:right w:val="single" w:sz="12" w:space="0" w:color="000000"/>
            </w:tcBorders>
          </w:tcPr>
          <w:p w14:paraId="22EE1A69" w14:textId="77777777" w:rsidR="000E2E95" w:rsidRPr="005669CE" w:rsidRDefault="00DB0A1C" w:rsidP="00CE74C2">
            <w:pPr>
              <w:pStyle w:val="TableParagraph"/>
              <w:spacing w:line="264" w:lineRule="exact"/>
              <w:ind w:left="122"/>
              <w:jc w:val="both"/>
            </w:pPr>
            <w:r w:rsidRPr="005669CE">
              <w:rPr>
                <w:lang w:val="fr-FR"/>
              </w:rPr>
              <w:t>1 % de solution d’hypochlorite (eau de Javel)</w:t>
            </w:r>
          </w:p>
        </w:tc>
      </w:tr>
      <w:tr w:rsidR="000C10E3" w14:paraId="60026E74" w14:textId="77777777">
        <w:trPr>
          <w:trHeight w:val="300"/>
        </w:trPr>
        <w:tc>
          <w:tcPr>
            <w:tcW w:w="4666" w:type="dxa"/>
            <w:tcBorders>
              <w:left w:val="single" w:sz="12" w:space="0" w:color="000000"/>
            </w:tcBorders>
          </w:tcPr>
          <w:p w14:paraId="4E8F4374" w14:textId="77777777" w:rsidR="000E2E95" w:rsidRPr="005669CE" w:rsidRDefault="00DB0A1C" w:rsidP="00CE74C2">
            <w:pPr>
              <w:pStyle w:val="TableParagraph"/>
              <w:spacing w:line="264" w:lineRule="exact"/>
              <w:ind w:left="107"/>
              <w:jc w:val="both"/>
            </w:pPr>
            <w:r w:rsidRPr="005669CE">
              <w:rPr>
                <w:lang w:val="fr-FR"/>
              </w:rPr>
              <w:t>Sac à dos pour transporter les fournitures</w:t>
            </w:r>
          </w:p>
        </w:tc>
        <w:tc>
          <w:tcPr>
            <w:tcW w:w="4666" w:type="dxa"/>
            <w:tcBorders>
              <w:right w:val="single" w:sz="12" w:space="0" w:color="000000"/>
            </w:tcBorders>
          </w:tcPr>
          <w:p w14:paraId="691B8677" w14:textId="77777777" w:rsidR="000E2E95" w:rsidRPr="005669CE" w:rsidRDefault="00DB0A1C" w:rsidP="00CE74C2">
            <w:pPr>
              <w:pStyle w:val="TableParagraph"/>
              <w:spacing w:line="264" w:lineRule="exact"/>
              <w:ind w:left="122"/>
              <w:jc w:val="both"/>
            </w:pPr>
            <w:r w:rsidRPr="005669CE">
              <w:rPr>
                <w:lang w:val="fr-FR"/>
              </w:rPr>
              <w:t>Alcool à brûler</w:t>
            </w:r>
          </w:p>
        </w:tc>
      </w:tr>
      <w:tr w:rsidR="000C10E3" w14:paraId="19EDCBFF" w14:textId="77777777">
        <w:trPr>
          <w:trHeight w:val="300"/>
        </w:trPr>
        <w:tc>
          <w:tcPr>
            <w:tcW w:w="4666" w:type="dxa"/>
            <w:tcBorders>
              <w:left w:val="single" w:sz="12" w:space="0" w:color="000000"/>
            </w:tcBorders>
          </w:tcPr>
          <w:p w14:paraId="58542F35" w14:textId="77777777" w:rsidR="000E2E95" w:rsidRPr="005669CE" w:rsidRDefault="00DB0A1C" w:rsidP="00CE74C2">
            <w:pPr>
              <w:pStyle w:val="TableParagraph"/>
              <w:spacing w:line="264" w:lineRule="exact"/>
              <w:ind w:left="107"/>
              <w:jc w:val="both"/>
            </w:pPr>
            <w:r w:rsidRPr="005669CE">
              <w:rPr>
                <w:lang w:val="fr-FR"/>
              </w:rPr>
              <w:t>Porte-bloc</w:t>
            </w:r>
          </w:p>
        </w:tc>
        <w:tc>
          <w:tcPr>
            <w:tcW w:w="4666" w:type="dxa"/>
            <w:tcBorders>
              <w:right w:val="single" w:sz="12" w:space="0" w:color="000000"/>
            </w:tcBorders>
          </w:tcPr>
          <w:p w14:paraId="30A3E0A4" w14:textId="77777777" w:rsidR="000E2E95" w:rsidRPr="005669CE" w:rsidRDefault="00DB0A1C" w:rsidP="00CE74C2">
            <w:pPr>
              <w:pStyle w:val="TableParagraph"/>
              <w:spacing w:line="264" w:lineRule="exact"/>
              <w:ind w:left="122"/>
              <w:jc w:val="both"/>
            </w:pPr>
            <w:r w:rsidRPr="005669CE">
              <w:rPr>
                <w:lang w:val="fr-FR"/>
              </w:rPr>
              <w:t>Sacs poubelles</w:t>
            </w:r>
          </w:p>
        </w:tc>
      </w:tr>
      <w:tr w:rsidR="000C10E3" w14:paraId="34D4E2D7" w14:textId="77777777">
        <w:trPr>
          <w:trHeight w:val="300"/>
        </w:trPr>
        <w:tc>
          <w:tcPr>
            <w:tcW w:w="4666" w:type="dxa"/>
            <w:tcBorders>
              <w:left w:val="single" w:sz="12" w:space="0" w:color="000000"/>
            </w:tcBorders>
          </w:tcPr>
          <w:p w14:paraId="52B7B600" w14:textId="77777777" w:rsidR="000E2E95" w:rsidRPr="005669CE" w:rsidRDefault="00DB0A1C" w:rsidP="00CE74C2">
            <w:pPr>
              <w:pStyle w:val="TableParagraph"/>
              <w:spacing w:line="264" w:lineRule="exact"/>
              <w:ind w:left="107"/>
              <w:jc w:val="both"/>
            </w:pPr>
            <w:r w:rsidRPr="005669CE">
              <w:rPr>
                <w:lang w:val="fr-FR"/>
              </w:rPr>
              <w:t>Formulaires de consentement (si une copie papier est nécessaire)</w:t>
            </w:r>
          </w:p>
        </w:tc>
        <w:tc>
          <w:tcPr>
            <w:tcW w:w="4666" w:type="dxa"/>
            <w:tcBorders>
              <w:right w:val="single" w:sz="12" w:space="0" w:color="000000"/>
            </w:tcBorders>
          </w:tcPr>
          <w:p w14:paraId="6CCDF8F6" w14:textId="77777777" w:rsidR="000E2E95" w:rsidRPr="005669CE" w:rsidRDefault="00DB0A1C" w:rsidP="00CE74C2">
            <w:pPr>
              <w:pStyle w:val="TableParagraph"/>
              <w:spacing w:line="264" w:lineRule="exact"/>
              <w:ind w:left="122"/>
              <w:jc w:val="both"/>
            </w:pPr>
            <w:r w:rsidRPr="005669CE">
              <w:rPr>
                <w:lang w:val="fr-FR"/>
              </w:rPr>
              <w:t>Serviettes en papier</w:t>
            </w:r>
          </w:p>
        </w:tc>
      </w:tr>
      <w:tr w:rsidR="000C10E3" w14:paraId="33462EA7" w14:textId="77777777">
        <w:trPr>
          <w:trHeight w:val="300"/>
        </w:trPr>
        <w:tc>
          <w:tcPr>
            <w:tcW w:w="4666" w:type="dxa"/>
            <w:tcBorders>
              <w:left w:val="single" w:sz="12" w:space="0" w:color="000000"/>
            </w:tcBorders>
          </w:tcPr>
          <w:p w14:paraId="660F141E" w14:textId="77777777" w:rsidR="000E2E95" w:rsidRPr="005669CE" w:rsidRDefault="00DB0A1C" w:rsidP="00CE74C2">
            <w:pPr>
              <w:pStyle w:val="TableParagraph"/>
              <w:spacing w:line="264" w:lineRule="exact"/>
              <w:ind w:left="107"/>
              <w:jc w:val="both"/>
            </w:pPr>
            <w:r w:rsidRPr="005669CE">
              <w:rPr>
                <w:lang w:val="fr-FR"/>
              </w:rPr>
              <w:t>Stylos et crayons</w:t>
            </w:r>
          </w:p>
        </w:tc>
        <w:tc>
          <w:tcPr>
            <w:tcW w:w="4666" w:type="dxa"/>
            <w:tcBorders>
              <w:right w:val="single" w:sz="12" w:space="0" w:color="000000"/>
            </w:tcBorders>
          </w:tcPr>
          <w:p w14:paraId="6B839DB6" w14:textId="77777777" w:rsidR="000E2E95" w:rsidRPr="005669CE" w:rsidRDefault="00DB0A1C" w:rsidP="00CE74C2">
            <w:pPr>
              <w:pStyle w:val="TableParagraph"/>
              <w:spacing w:line="264" w:lineRule="exact"/>
              <w:ind w:left="122"/>
              <w:jc w:val="both"/>
            </w:pPr>
            <w:r w:rsidRPr="005669CE">
              <w:rPr>
                <w:lang w:val="fr-FR"/>
              </w:rPr>
              <w:t>Papier hygiénique</w:t>
            </w:r>
          </w:p>
        </w:tc>
      </w:tr>
      <w:tr w:rsidR="000C10E3" w14:paraId="4D68A9B0" w14:textId="77777777">
        <w:trPr>
          <w:trHeight w:val="300"/>
        </w:trPr>
        <w:tc>
          <w:tcPr>
            <w:tcW w:w="4666" w:type="dxa"/>
            <w:tcBorders>
              <w:left w:val="single" w:sz="12" w:space="0" w:color="000000"/>
            </w:tcBorders>
          </w:tcPr>
          <w:p w14:paraId="267886EC" w14:textId="77777777" w:rsidR="000E2E95" w:rsidRPr="005669CE" w:rsidRDefault="00DB0A1C" w:rsidP="00CE74C2">
            <w:pPr>
              <w:pStyle w:val="TableParagraph"/>
              <w:spacing w:line="264" w:lineRule="exact"/>
              <w:ind w:left="107"/>
              <w:jc w:val="both"/>
            </w:pPr>
            <w:r w:rsidRPr="005669CE">
              <w:rPr>
                <w:lang w:val="fr-FR"/>
              </w:rPr>
              <w:t>Registre des participants (fiches d’identification)</w:t>
            </w:r>
          </w:p>
        </w:tc>
        <w:tc>
          <w:tcPr>
            <w:tcW w:w="4666" w:type="dxa"/>
            <w:tcBorders>
              <w:right w:val="single" w:sz="12" w:space="0" w:color="000000"/>
            </w:tcBorders>
          </w:tcPr>
          <w:p w14:paraId="78DCE5CC" w14:textId="77777777" w:rsidR="000E2E95" w:rsidRPr="005669CE" w:rsidRDefault="00DB0A1C" w:rsidP="00CE74C2">
            <w:pPr>
              <w:pStyle w:val="TableParagraph"/>
              <w:spacing w:line="264" w:lineRule="exact"/>
              <w:ind w:left="122"/>
              <w:jc w:val="both"/>
            </w:pPr>
            <w:r w:rsidRPr="005669CE">
              <w:rPr>
                <w:lang w:val="fr-FR"/>
              </w:rPr>
              <w:t>Savon médicinal</w:t>
            </w:r>
          </w:p>
        </w:tc>
      </w:tr>
      <w:tr w:rsidR="000C10E3" w14:paraId="7312D0B4" w14:textId="77777777">
        <w:trPr>
          <w:trHeight w:val="300"/>
        </w:trPr>
        <w:tc>
          <w:tcPr>
            <w:tcW w:w="4666" w:type="dxa"/>
            <w:tcBorders>
              <w:left w:val="single" w:sz="12" w:space="0" w:color="000000"/>
            </w:tcBorders>
          </w:tcPr>
          <w:p w14:paraId="4342920A" w14:textId="77777777" w:rsidR="000E2E95" w:rsidRPr="005669CE" w:rsidRDefault="00DB0A1C" w:rsidP="00CE74C2">
            <w:pPr>
              <w:pStyle w:val="TableParagraph"/>
              <w:spacing w:line="265" w:lineRule="exact"/>
              <w:ind w:left="107"/>
              <w:jc w:val="both"/>
            </w:pPr>
            <w:r w:rsidRPr="005669CE">
              <w:rPr>
                <w:lang w:val="fr-FR"/>
              </w:rPr>
              <w:t>Bloc-notes</w:t>
            </w:r>
          </w:p>
        </w:tc>
        <w:tc>
          <w:tcPr>
            <w:tcW w:w="4666" w:type="dxa"/>
            <w:tcBorders>
              <w:right w:val="single" w:sz="12" w:space="0" w:color="000000"/>
            </w:tcBorders>
          </w:tcPr>
          <w:p w14:paraId="6BE95FF3" w14:textId="77777777" w:rsidR="000E2E95" w:rsidRPr="005669CE" w:rsidRDefault="00DB0A1C" w:rsidP="00CE74C2">
            <w:pPr>
              <w:pStyle w:val="TableParagraph"/>
              <w:spacing w:line="265" w:lineRule="exact"/>
              <w:ind w:left="122"/>
              <w:jc w:val="both"/>
            </w:pPr>
            <w:r w:rsidRPr="005669CE">
              <w:rPr>
                <w:lang w:val="fr-FR"/>
              </w:rPr>
              <w:t>Gants de lavage en caoutchouc</w:t>
            </w:r>
          </w:p>
        </w:tc>
      </w:tr>
      <w:tr w:rsidR="000C10E3" w14:paraId="5B45F2E6" w14:textId="77777777">
        <w:trPr>
          <w:trHeight w:val="300"/>
        </w:trPr>
        <w:tc>
          <w:tcPr>
            <w:tcW w:w="4666" w:type="dxa"/>
            <w:tcBorders>
              <w:left w:val="single" w:sz="12" w:space="0" w:color="000000"/>
            </w:tcBorders>
          </w:tcPr>
          <w:p w14:paraId="33DD8B18" w14:textId="77777777" w:rsidR="000E2E95" w:rsidRPr="005669CE" w:rsidRDefault="00DB0A1C" w:rsidP="00CE74C2">
            <w:pPr>
              <w:pStyle w:val="TableParagraph"/>
              <w:spacing w:line="264" w:lineRule="exact"/>
              <w:ind w:left="107"/>
              <w:jc w:val="both"/>
            </w:pPr>
            <w:r w:rsidRPr="005669CE">
              <w:rPr>
                <w:lang w:val="fr-FR"/>
              </w:rPr>
              <w:t>Calculatrice</w:t>
            </w:r>
          </w:p>
        </w:tc>
        <w:tc>
          <w:tcPr>
            <w:tcW w:w="4666" w:type="dxa"/>
            <w:tcBorders>
              <w:right w:val="single" w:sz="12" w:space="0" w:color="000000"/>
            </w:tcBorders>
          </w:tcPr>
          <w:p w14:paraId="552DDB61" w14:textId="77777777" w:rsidR="000E2E95" w:rsidRPr="005669CE" w:rsidRDefault="00DB0A1C" w:rsidP="00CE74C2">
            <w:pPr>
              <w:pStyle w:val="TableParagraph"/>
              <w:spacing w:line="264" w:lineRule="exact"/>
              <w:ind w:left="122"/>
              <w:jc w:val="both"/>
            </w:pPr>
            <w:r w:rsidRPr="005669CE">
              <w:rPr>
                <w:lang w:val="fr-FR"/>
              </w:rPr>
              <w:t>Lingettes désinfectantes OU mouchoirs en papier et éthanol à 70 %.</w:t>
            </w:r>
          </w:p>
        </w:tc>
      </w:tr>
      <w:tr w:rsidR="000C10E3" w14:paraId="5E6E0838" w14:textId="77777777">
        <w:trPr>
          <w:trHeight w:val="298"/>
        </w:trPr>
        <w:tc>
          <w:tcPr>
            <w:tcW w:w="4666" w:type="dxa"/>
            <w:tcBorders>
              <w:left w:val="single" w:sz="12" w:space="0" w:color="000000"/>
              <w:bottom w:val="single" w:sz="12" w:space="0" w:color="000000"/>
            </w:tcBorders>
          </w:tcPr>
          <w:p w14:paraId="25845984" w14:textId="77777777" w:rsidR="000E2E95" w:rsidRPr="005669CE" w:rsidRDefault="00DB0A1C" w:rsidP="00CE74C2">
            <w:pPr>
              <w:pStyle w:val="TableParagraph"/>
              <w:spacing w:line="264" w:lineRule="exact"/>
              <w:ind w:left="107"/>
              <w:jc w:val="both"/>
            </w:pPr>
            <w:r w:rsidRPr="005669CE">
              <w:rPr>
                <w:lang w:val="fr-FR"/>
              </w:rPr>
              <w:t>Marqueur indélébile</w:t>
            </w:r>
          </w:p>
        </w:tc>
        <w:tc>
          <w:tcPr>
            <w:tcW w:w="4666" w:type="dxa"/>
            <w:tcBorders>
              <w:bottom w:val="single" w:sz="12" w:space="0" w:color="000000"/>
              <w:right w:val="single" w:sz="12" w:space="0" w:color="000000"/>
            </w:tcBorders>
          </w:tcPr>
          <w:p w14:paraId="616AEF5F" w14:textId="77777777" w:rsidR="000E2E95" w:rsidRPr="005669CE" w:rsidRDefault="00DB0A1C" w:rsidP="00CE74C2">
            <w:pPr>
              <w:pStyle w:val="TableParagraph"/>
              <w:spacing w:line="264" w:lineRule="exact"/>
              <w:ind w:left="122"/>
              <w:jc w:val="both"/>
            </w:pPr>
            <w:r w:rsidRPr="005669CE">
              <w:rPr>
                <w:lang w:val="fr-FR"/>
              </w:rPr>
              <w:t>Poubelle (contenant du désinfectant)</w:t>
            </w:r>
          </w:p>
        </w:tc>
      </w:tr>
    </w:tbl>
    <w:p w14:paraId="3E3E3E16" w14:textId="77777777" w:rsidR="000E2E95" w:rsidRPr="005669CE" w:rsidRDefault="000E2E95" w:rsidP="00341A0D">
      <w:pPr>
        <w:pStyle w:val="BodyText"/>
      </w:pPr>
    </w:p>
    <w:p w14:paraId="74E0A17D" w14:textId="77777777" w:rsidR="000E2E95" w:rsidRPr="005669CE" w:rsidRDefault="00DB0A1C" w:rsidP="00AE017E">
      <w:pPr>
        <w:spacing w:before="1"/>
        <w:jc w:val="both"/>
        <w:rPr>
          <w:rFonts w:ascii="Calibri Light"/>
          <w:sz w:val="28"/>
        </w:rPr>
      </w:pPr>
      <w:r w:rsidRPr="005669CE">
        <w:rPr>
          <w:rFonts w:ascii="Calibri Light"/>
          <w:color w:val="4471C4"/>
          <w:sz w:val="28"/>
          <w:lang w:val="fr-FR"/>
        </w:rPr>
        <w:t>Liste des fournitures recommand</w:t>
      </w:r>
      <w:r w:rsidRPr="005669CE">
        <w:rPr>
          <w:rFonts w:ascii="Calibri Light"/>
          <w:color w:val="4471C4"/>
          <w:sz w:val="28"/>
          <w:lang w:val="fr-FR"/>
        </w:rPr>
        <w:t>é</w:t>
      </w:r>
      <w:r w:rsidRPr="005669CE">
        <w:rPr>
          <w:rFonts w:ascii="Calibri Light"/>
          <w:color w:val="4471C4"/>
          <w:sz w:val="28"/>
          <w:lang w:val="fr-FR"/>
        </w:rPr>
        <w:t xml:space="preserve">es pour les </w:t>
      </w:r>
      <w:r w:rsidRPr="005669CE">
        <w:rPr>
          <w:rFonts w:ascii="Calibri Light"/>
          <w:color w:val="4471C4"/>
          <w:sz w:val="28"/>
          <w:lang w:val="fr-FR"/>
        </w:rPr>
        <w:t>é</w:t>
      </w:r>
      <w:r w:rsidRPr="005669CE">
        <w:rPr>
          <w:rFonts w:ascii="Calibri Light"/>
          <w:color w:val="4471C4"/>
          <w:sz w:val="28"/>
          <w:lang w:val="fr-FR"/>
        </w:rPr>
        <w:t>quipes de laboratoire</w:t>
      </w:r>
    </w:p>
    <w:p w14:paraId="68A02DE5" w14:textId="77777777" w:rsidR="000E2E95" w:rsidRPr="005669CE" w:rsidRDefault="00DB0A1C" w:rsidP="00AE017E">
      <w:pPr>
        <w:pStyle w:val="BodyText"/>
        <w:ind w:left="0"/>
      </w:pPr>
      <w:r w:rsidRPr="005669CE">
        <w:rPr>
          <w:lang w:val="fr-FR"/>
        </w:rPr>
        <w:t>(</w:t>
      </w:r>
      <w:proofErr w:type="gramStart"/>
      <w:r w:rsidRPr="005669CE">
        <w:rPr>
          <w:lang w:val="fr-FR"/>
        </w:rPr>
        <w:t>voir</w:t>
      </w:r>
      <w:proofErr w:type="gramEnd"/>
      <w:r w:rsidRPr="005669CE">
        <w:rPr>
          <w:lang w:val="fr-FR"/>
        </w:rPr>
        <w:t xml:space="preserve"> les MON pour connaître les spécifications)</w:t>
      </w:r>
    </w:p>
    <w:tbl>
      <w:tblPr>
        <w:tblW w:w="0" w:type="auto"/>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168"/>
        <w:gridCol w:w="5193"/>
      </w:tblGrid>
      <w:tr w:rsidR="000C10E3" w14:paraId="3B4F31AC" w14:textId="77777777">
        <w:trPr>
          <w:trHeight w:val="298"/>
        </w:trPr>
        <w:tc>
          <w:tcPr>
            <w:tcW w:w="4168" w:type="dxa"/>
          </w:tcPr>
          <w:p w14:paraId="640DA333" w14:textId="77777777" w:rsidR="000E2E95" w:rsidRPr="005669CE" w:rsidRDefault="00DB0A1C" w:rsidP="00CE74C2">
            <w:pPr>
              <w:pStyle w:val="TableParagraph"/>
              <w:spacing w:line="267" w:lineRule="exact"/>
              <w:ind w:left="107"/>
              <w:jc w:val="both"/>
              <w:rPr>
                <w:b/>
              </w:rPr>
            </w:pPr>
            <w:r w:rsidRPr="005669CE">
              <w:rPr>
                <w:b/>
                <w:bCs/>
                <w:spacing w:val="-2"/>
                <w:lang w:val="fr-FR"/>
              </w:rPr>
              <w:t>Fournitures générales</w:t>
            </w:r>
          </w:p>
        </w:tc>
        <w:tc>
          <w:tcPr>
            <w:tcW w:w="5193" w:type="dxa"/>
          </w:tcPr>
          <w:p w14:paraId="7A3AC2C6" w14:textId="77777777" w:rsidR="000E2E95" w:rsidRPr="005669CE" w:rsidRDefault="00DB0A1C" w:rsidP="00CE74C2">
            <w:pPr>
              <w:pStyle w:val="TableParagraph"/>
              <w:spacing w:line="267" w:lineRule="exact"/>
              <w:ind w:left="94"/>
              <w:jc w:val="both"/>
              <w:rPr>
                <w:b/>
              </w:rPr>
            </w:pPr>
            <w:r w:rsidRPr="005669CE">
              <w:rPr>
                <w:b/>
                <w:bCs/>
                <w:lang w:val="fr-FR"/>
              </w:rPr>
              <w:t>Filtration d’urine</w:t>
            </w:r>
          </w:p>
        </w:tc>
      </w:tr>
      <w:tr w:rsidR="000C10E3" w14:paraId="44B83362" w14:textId="77777777">
        <w:trPr>
          <w:trHeight w:val="305"/>
        </w:trPr>
        <w:tc>
          <w:tcPr>
            <w:tcW w:w="4168" w:type="dxa"/>
            <w:tcBorders>
              <w:bottom w:val="nil"/>
            </w:tcBorders>
          </w:tcPr>
          <w:p w14:paraId="6831642E" w14:textId="77777777" w:rsidR="000E2E95" w:rsidRPr="005669CE" w:rsidRDefault="00DB0A1C" w:rsidP="00CE74C2">
            <w:pPr>
              <w:pStyle w:val="TableParagraph"/>
              <w:spacing w:before="1"/>
              <w:ind w:left="107"/>
              <w:jc w:val="both"/>
            </w:pPr>
            <w:r w:rsidRPr="005669CE">
              <w:rPr>
                <w:lang w:val="fr-FR"/>
              </w:rPr>
              <w:t>Microscope</w:t>
            </w:r>
          </w:p>
        </w:tc>
        <w:tc>
          <w:tcPr>
            <w:tcW w:w="5193" w:type="dxa"/>
            <w:tcBorders>
              <w:bottom w:val="nil"/>
            </w:tcBorders>
          </w:tcPr>
          <w:p w14:paraId="49DD2A9A" w14:textId="77777777" w:rsidR="000E2E95" w:rsidRPr="005669CE" w:rsidRDefault="00DB0A1C" w:rsidP="00CE74C2">
            <w:pPr>
              <w:pStyle w:val="TableParagraph"/>
              <w:spacing w:before="1"/>
              <w:ind w:left="94"/>
              <w:jc w:val="both"/>
            </w:pPr>
            <w:r w:rsidRPr="005669CE">
              <w:rPr>
                <w:lang w:val="fr-FR"/>
              </w:rPr>
              <w:t xml:space="preserve">Bandelettes </w:t>
            </w:r>
            <w:proofErr w:type="spellStart"/>
            <w:r w:rsidRPr="005669CE">
              <w:rPr>
                <w:lang w:val="fr-FR"/>
              </w:rPr>
              <w:t>Hemastix</w:t>
            </w:r>
            <w:proofErr w:type="spellEnd"/>
          </w:p>
        </w:tc>
      </w:tr>
      <w:tr w:rsidR="000C10E3" w14:paraId="00153C43" w14:textId="77777777">
        <w:trPr>
          <w:trHeight w:val="300"/>
        </w:trPr>
        <w:tc>
          <w:tcPr>
            <w:tcW w:w="4168" w:type="dxa"/>
            <w:tcBorders>
              <w:top w:val="nil"/>
              <w:bottom w:val="nil"/>
            </w:tcBorders>
          </w:tcPr>
          <w:p w14:paraId="6997FD7B" w14:textId="77777777" w:rsidR="000E2E95" w:rsidRPr="005669CE" w:rsidRDefault="00DB0A1C" w:rsidP="00CE74C2">
            <w:pPr>
              <w:pStyle w:val="TableParagraph"/>
              <w:spacing w:line="264" w:lineRule="exact"/>
              <w:ind w:left="107"/>
              <w:jc w:val="both"/>
            </w:pPr>
            <w:r w:rsidRPr="005669CE">
              <w:rPr>
                <w:lang w:val="fr-FR"/>
              </w:rPr>
              <w:t>Générateur (sauf si le laboratoire est alimenté en électricité)</w:t>
            </w:r>
          </w:p>
        </w:tc>
        <w:tc>
          <w:tcPr>
            <w:tcW w:w="5193" w:type="dxa"/>
            <w:tcBorders>
              <w:top w:val="nil"/>
              <w:bottom w:val="nil"/>
            </w:tcBorders>
          </w:tcPr>
          <w:p w14:paraId="06E45172" w14:textId="77777777" w:rsidR="000E2E95" w:rsidRPr="005669CE" w:rsidRDefault="00DB0A1C" w:rsidP="00CE74C2">
            <w:pPr>
              <w:pStyle w:val="TableParagraph"/>
              <w:spacing w:line="264" w:lineRule="exact"/>
              <w:ind w:left="94"/>
              <w:jc w:val="both"/>
            </w:pPr>
            <w:r w:rsidRPr="005669CE">
              <w:rPr>
                <w:lang w:val="fr-FR"/>
              </w:rPr>
              <w:t>Gobelet à urine avec couvercle</w:t>
            </w:r>
          </w:p>
        </w:tc>
      </w:tr>
      <w:tr w:rsidR="000C10E3" w14:paraId="1BF417EE" w14:textId="77777777">
        <w:trPr>
          <w:trHeight w:val="300"/>
        </w:trPr>
        <w:tc>
          <w:tcPr>
            <w:tcW w:w="4168" w:type="dxa"/>
            <w:tcBorders>
              <w:top w:val="nil"/>
              <w:bottom w:val="nil"/>
            </w:tcBorders>
          </w:tcPr>
          <w:p w14:paraId="49B59282" w14:textId="77777777" w:rsidR="000E2E95" w:rsidRPr="005669CE" w:rsidRDefault="00DB0A1C" w:rsidP="00CE74C2">
            <w:pPr>
              <w:pStyle w:val="TableParagraph"/>
              <w:spacing w:line="264" w:lineRule="exact"/>
              <w:ind w:left="107"/>
              <w:jc w:val="both"/>
            </w:pPr>
            <w:r w:rsidRPr="005669CE">
              <w:rPr>
                <w:lang w:val="fr-FR"/>
              </w:rPr>
              <w:t>Compteur(s) manuel(s)</w:t>
            </w:r>
          </w:p>
        </w:tc>
        <w:tc>
          <w:tcPr>
            <w:tcW w:w="5193" w:type="dxa"/>
            <w:tcBorders>
              <w:top w:val="nil"/>
              <w:bottom w:val="nil"/>
            </w:tcBorders>
          </w:tcPr>
          <w:p w14:paraId="55C25999" w14:textId="77777777" w:rsidR="000E2E95" w:rsidRPr="005669CE" w:rsidRDefault="00DB0A1C" w:rsidP="00CE74C2">
            <w:pPr>
              <w:pStyle w:val="TableParagraph"/>
              <w:spacing w:line="264" w:lineRule="exact"/>
              <w:ind w:left="94"/>
              <w:jc w:val="both"/>
            </w:pPr>
            <w:r w:rsidRPr="005669CE">
              <w:rPr>
                <w:lang w:val="fr-FR"/>
              </w:rPr>
              <w:t>Porte-filtre à urine</w:t>
            </w:r>
          </w:p>
        </w:tc>
      </w:tr>
      <w:tr w:rsidR="000C10E3" w14:paraId="4F475D9E" w14:textId="77777777">
        <w:trPr>
          <w:trHeight w:val="300"/>
        </w:trPr>
        <w:tc>
          <w:tcPr>
            <w:tcW w:w="4168" w:type="dxa"/>
            <w:tcBorders>
              <w:top w:val="nil"/>
              <w:bottom w:val="nil"/>
            </w:tcBorders>
          </w:tcPr>
          <w:p w14:paraId="7E46B4AA" w14:textId="77777777" w:rsidR="000E2E95" w:rsidRPr="005669CE" w:rsidRDefault="00DB0A1C" w:rsidP="00CE74C2">
            <w:pPr>
              <w:pStyle w:val="TableParagraph"/>
              <w:spacing w:line="264" w:lineRule="exact"/>
              <w:ind w:left="107"/>
              <w:jc w:val="both"/>
            </w:pPr>
            <w:r w:rsidRPr="005669CE">
              <w:rPr>
                <w:lang w:val="fr-FR"/>
              </w:rPr>
              <w:t>Marqueur indélébile</w:t>
            </w:r>
          </w:p>
        </w:tc>
        <w:tc>
          <w:tcPr>
            <w:tcW w:w="5193" w:type="dxa"/>
            <w:tcBorders>
              <w:top w:val="nil"/>
              <w:bottom w:val="nil"/>
            </w:tcBorders>
          </w:tcPr>
          <w:p w14:paraId="798DC83A" w14:textId="77777777" w:rsidR="000E2E95" w:rsidRPr="005669CE" w:rsidRDefault="00DB0A1C" w:rsidP="00CE74C2">
            <w:pPr>
              <w:pStyle w:val="TableParagraph"/>
              <w:spacing w:line="264" w:lineRule="exact"/>
              <w:ind w:left="94"/>
              <w:jc w:val="both"/>
            </w:pPr>
            <w:r w:rsidRPr="005669CE">
              <w:rPr>
                <w:lang w:val="fr-FR"/>
              </w:rPr>
              <w:t>Seringues de 10 cc</w:t>
            </w:r>
          </w:p>
        </w:tc>
      </w:tr>
      <w:tr w:rsidR="000C10E3" w14:paraId="2A933F9F" w14:textId="77777777">
        <w:trPr>
          <w:trHeight w:val="300"/>
        </w:trPr>
        <w:tc>
          <w:tcPr>
            <w:tcW w:w="4168" w:type="dxa"/>
            <w:tcBorders>
              <w:top w:val="nil"/>
              <w:bottom w:val="nil"/>
            </w:tcBorders>
          </w:tcPr>
          <w:p w14:paraId="7FDF5CAC" w14:textId="77777777" w:rsidR="000E2E95" w:rsidRPr="005669CE" w:rsidRDefault="00DB0A1C" w:rsidP="00CE74C2">
            <w:pPr>
              <w:pStyle w:val="TableParagraph"/>
              <w:spacing w:line="264" w:lineRule="exact"/>
              <w:ind w:left="107"/>
              <w:jc w:val="both"/>
            </w:pPr>
            <w:r w:rsidRPr="005669CE">
              <w:rPr>
                <w:lang w:val="fr-FR"/>
              </w:rPr>
              <w:t>Gants</w:t>
            </w:r>
          </w:p>
        </w:tc>
        <w:tc>
          <w:tcPr>
            <w:tcW w:w="5193" w:type="dxa"/>
            <w:tcBorders>
              <w:top w:val="nil"/>
              <w:bottom w:val="nil"/>
            </w:tcBorders>
          </w:tcPr>
          <w:p w14:paraId="36F3305D" w14:textId="77777777" w:rsidR="000E2E95" w:rsidRPr="005669CE" w:rsidRDefault="00DB0A1C" w:rsidP="00CE74C2">
            <w:pPr>
              <w:pStyle w:val="TableParagraph"/>
              <w:spacing w:line="264" w:lineRule="exact"/>
              <w:ind w:left="94"/>
              <w:jc w:val="both"/>
            </w:pPr>
            <w:r w:rsidRPr="005669CE">
              <w:rPr>
                <w:lang w:val="fr-FR"/>
              </w:rPr>
              <w:t>Filtres à membrane</w:t>
            </w:r>
          </w:p>
        </w:tc>
      </w:tr>
      <w:tr w:rsidR="000C10E3" w14:paraId="36CB6C06" w14:textId="77777777">
        <w:trPr>
          <w:trHeight w:val="295"/>
        </w:trPr>
        <w:tc>
          <w:tcPr>
            <w:tcW w:w="4168" w:type="dxa"/>
            <w:tcBorders>
              <w:top w:val="nil"/>
              <w:bottom w:val="nil"/>
            </w:tcBorders>
          </w:tcPr>
          <w:p w14:paraId="6DFC7673" w14:textId="77777777" w:rsidR="000E2E95" w:rsidRPr="005669CE" w:rsidRDefault="00DB0A1C" w:rsidP="00CE74C2">
            <w:pPr>
              <w:pStyle w:val="TableParagraph"/>
              <w:spacing w:line="264" w:lineRule="exact"/>
              <w:ind w:left="107"/>
              <w:jc w:val="both"/>
            </w:pPr>
            <w:r w:rsidRPr="005669CE">
              <w:rPr>
                <w:lang w:val="fr-FR"/>
              </w:rPr>
              <w:t>Blouse de laboratoire</w:t>
            </w:r>
          </w:p>
        </w:tc>
        <w:tc>
          <w:tcPr>
            <w:tcW w:w="5193" w:type="dxa"/>
            <w:tcBorders>
              <w:top w:val="nil"/>
            </w:tcBorders>
          </w:tcPr>
          <w:p w14:paraId="095902C1" w14:textId="77777777" w:rsidR="000E2E95" w:rsidRPr="005669CE" w:rsidRDefault="00DB0A1C" w:rsidP="00CE74C2">
            <w:pPr>
              <w:pStyle w:val="TableParagraph"/>
              <w:spacing w:line="264" w:lineRule="exact"/>
              <w:ind w:left="94"/>
              <w:jc w:val="both"/>
            </w:pPr>
            <w:r w:rsidRPr="005669CE">
              <w:rPr>
                <w:lang w:val="fr-FR"/>
              </w:rPr>
              <w:t>Iodine de Lugol (solution de 5 %)</w:t>
            </w:r>
          </w:p>
        </w:tc>
      </w:tr>
      <w:tr w:rsidR="000C10E3" w14:paraId="5CEE056E" w14:textId="77777777">
        <w:trPr>
          <w:trHeight w:val="298"/>
        </w:trPr>
        <w:tc>
          <w:tcPr>
            <w:tcW w:w="4168" w:type="dxa"/>
            <w:tcBorders>
              <w:top w:val="nil"/>
              <w:bottom w:val="nil"/>
            </w:tcBorders>
          </w:tcPr>
          <w:p w14:paraId="34FBE7B7" w14:textId="77777777" w:rsidR="000E2E95" w:rsidRPr="005669CE" w:rsidRDefault="00DB0A1C" w:rsidP="00CE74C2">
            <w:pPr>
              <w:pStyle w:val="TableParagraph"/>
              <w:spacing w:line="267" w:lineRule="exact"/>
              <w:ind w:left="107"/>
              <w:jc w:val="both"/>
            </w:pPr>
            <w:r w:rsidRPr="005669CE">
              <w:rPr>
                <w:lang w:val="fr-FR"/>
              </w:rPr>
              <w:t>Chaussures adéquates</w:t>
            </w:r>
          </w:p>
        </w:tc>
        <w:tc>
          <w:tcPr>
            <w:tcW w:w="5193" w:type="dxa"/>
          </w:tcPr>
          <w:p w14:paraId="3EF52089" w14:textId="77777777" w:rsidR="000E2E95" w:rsidRPr="005669CE" w:rsidRDefault="00DB0A1C" w:rsidP="00CE74C2">
            <w:pPr>
              <w:pStyle w:val="TableParagraph"/>
              <w:spacing w:line="267" w:lineRule="exact"/>
              <w:ind w:left="94"/>
              <w:jc w:val="both"/>
              <w:rPr>
                <w:b/>
              </w:rPr>
            </w:pPr>
            <w:r w:rsidRPr="005669CE">
              <w:rPr>
                <w:b/>
                <w:bCs/>
                <w:spacing w:val="-2"/>
                <w:lang w:val="fr-FR"/>
              </w:rPr>
              <w:t>Kato-Katz</w:t>
            </w:r>
          </w:p>
        </w:tc>
      </w:tr>
      <w:tr w:rsidR="000C10E3" w14:paraId="63DD1DFC" w14:textId="77777777">
        <w:trPr>
          <w:trHeight w:val="305"/>
        </w:trPr>
        <w:tc>
          <w:tcPr>
            <w:tcW w:w="4168" w:type="dxa"/>
            <w:tcBorders>
              <w:top w:val="nil"/>
              <w:bottom w:val="nil"/>
            </w:tcBorders>
          </w:tcPr>
          <w:p w14:paraId="325328C0" w14:textId="77777777" w:rsidR="000E2E95" w:rsidRPr="005669CE" w:rsidRDefault="00DB0A1C" w:rsidP="00CE74C2">
            <w:pPr>
              <w:pStyle w:val="TableParagraph"/>
              <w:spacing w:before="1"/>
              <w:ind w:left="107"/>
              <w:jc w:val="both"/>
            </w:pPr>
            <w:r w:rsidRPr="005669CE">
              <w:rPr>
                <w:lang w:val="fr-FR"/>
              </w:rPr>
              <w:t>Masque chirurgical</w:t>
            </w:r>
          </w:p>
        </w:tc>
        <w:tc>
          <w:tcPr>
            <w:tcW w:w="5193" w:type="dxa"/>
            <w:tcBorders>
              <w:bottom w:val="nil"/>
            </w:tcBorders>
          </w:tcPr>
          <w:p w14:paraId="3B4F14C8" w14:textId="77777777" w:rsidR="000E2E95" w:rsidRPr="005669CE" w:rsidRDefault="00DB0A1C" w:rsidP="00CE74C2">
            <w:pPr>
              <w:pStyle w:val="TableParagraph"/>
              <w:spacing w:before="1"/>
              <w:ind w:left="94"/>
              <w:jc w:val="both"/>
            </w:pPr>
            <w:r w:rsidRPr="005669CE">
              <w:rPr>
                <w:lang w:val="fr-FR"/>
              </w:rPr>
              <w:t>Kit Kato-Katz ou éléments individuels :</w:t>
            </w:r>
          </w:p>
        </w:tc>
      </w:tr>
      <w:tr w:rsidR="000C10E3" w14:paraId="4B8E385B" w14:textId="77777777">
        <w:trPr>
          <w:trHeight w:val="300"/>
        </w:trPr>
        <w:tc>
          <w:tcPr>
            <w:tcW w:w="4168" w:type="dxa"/>
            <w:tcBorders>
              <w:top w:val="nil"/>
              <w:bottom w:val="nil"/>
            </w:tcBorders>
          </w:tcPr>
          <w:p w14:paraId="34D44AE1" w14:textId="77777777" w:rsidR="000E2E95" w:rsidRPr="005669CE" w:rsidRDefault="00DB0A1C" w:rsidP="00CE74C2">
            <w:pPr>
              <w:pStyle w:val="TableParagraph"/>
              <w:spacing w:line="264" w:lineRule="exact"/>
              <w:ind w:left="107"/>
              <w:jc w:val="both"/>
            </w:pPr>
            <w:r w:rsidRPr="005669CE">
              <w:rPr>
                <w:lang w:val="fr-FR"/>
              </w:rPr>
              <w:t>Désinfectant pour les mains</w:t>
            </w:r>
          </w:p>
        </w:tc>
        <w:tc>
          <w:tcPr>
            <w:tcW w:w="5193" w:type="dxa"/>
            <w:tcBorders>
              <w:top w:val="nil"/>
              <w:bottom w:val="nil"/>
            </w:tcBorders>
          </w:tcPr>
          <w:p w14:paraId="4F4956A8" w14:textId="77777777" w:rsidR="000E2E95" w:rsidRPr="005669CE" w:rsidRDefault="00DB0A1C" w:rsidP="00CE74C2">
            <w:pPr>
              <w:pStyle w:val="TableParagraph"/>
              <w:spacing w:line="264" w:lineRule="exact"/>
              <w:ind w:left="94"/>
              <w:jc w:val="both"/>
            </w:pPr>
            <w:r w:rsidRPr="005669CE">
              <w:rPr>
                <w:lang w:val="fr-FR"/>
              </w:rPr>
              <w:t>Feuilles de cellophane (hydrophiles, 30 - 50 µm d’épaisseur)</w:t>
            </w:r>
          </w:p>
        </w:tc>
      </w:tr>
      <w:tr w:rsidR="000C10E3" w14:paraId="06C77A19" w14:textId="77777777">
        <w:trPr>
          <w:trHeight w:val="300"/>
        </w:trPr>
        <w:tc>
          <w:tcPr>
            <w:tcW w:w="4168" w:type="dxa"/>
            <w:tcBorders>
              <w:top w:val="nil"/>
              <w:bottom w:val="nil"/>
            </w:tcBorders>
          </w:tcPr>
          <w:p w14:paraId="2A14E648" w14:textId="77777777" w:rsidR="000E2E95" w:rsidRPr="005669CE" w:rsidRDefault="00DB0A1C" w:rsidP="00CE74C2">
            <w:pPr>
              <w:pStyle w:val="TableParagraph"/>
              <w:spacing w:line="264" w:lineRule="exact"/>
              <w:ind w:left="107"/>
              <w:jc w:val="both"/>
            </w:pPr>
            <w:r w:rsidRPr="005669CE">
              <w:rPr>
                <w:lang w:val="fr-FR"/>
              </w:rPr>
              <w:t>Forceps</w:t>
            </w:r>
          </w:p>
        </w:tc>
        <w:tc>
          <w:tcPr>
            <w:tcW w:w="5193" w:type="dxa"/>
            <w:tcBorders>
              <w:top w:val="nil"/>
              <w:bottom w:val="nil"/>
            </w:tcBorders>
          </w:tcPr>
          <w:p w14:paraId="7ED32F38" w14:textId="77777777" w:rsidR="000E2E95" w:rsidRPr="005669CE" w:rsidRDefault="00DB0A1C" w:rsidP="00CE74C2">
            <w:pPr>
              <w:pStyle w:val="TableParagraph"/>
              <w:spacing w:line="264" w:lineRule="exact"/>
              <w:ind w:left="94"/>
              <w:jc w:val="both"/>
            </w:pPr>
            <w:r w:rsidRPr="005669CE">
              <w:rPr>
                <w:lang w:val="fr-FR"/>
              </w:rPr>
              <w:t>Tamis métallique</w:t>
            </w:r>
          </w:p>
        </w:tc>
      </w:tr>
      <w:tr w:rsidR="000C10E3" w14:paraId="4445021F" w14:textId="77777777">
        <w:trPr>
          <w:trHeight w:val="300"/>
        </w:trPr>
        <w:tc>
          <w:tcPr>
            <w:tcW w:w="4168" w:type="dxa"/>
            <w:tcBorders>
              <w:top w:val="nil"/>
              <w:bottom w:val="nil"/>
            </w:tcBorders>
          </w:tcPr>
          <w:p w14:paraId="2DA3C336" w14:textId="77777777" w:rsidR="000E2E95" w:rsidRPr="005669CE" w:rsidRDefault="00DB0A1C" w:rsidP="00CE74C2">
            <w:pPr>
              <w:pStyle w:val="TableParagraph"/>
              <w:spacing w:line="265" w:lineRule="exact"/>
              <w:ind w:left="107"/>
              <w:jc w:val="both"/>
            </w:pPr>
            <w:r w:rsidRPr="005669CE">
              <w:rPr>
                <w:lang w:val="fr-FR"/>
              </w:rPr>
              <w:t>Lames de microscope</w:t>
            </w:r>
          </w:p>
        </w:tc>
        <w:tc>
          <w:tcPr>
            <w:tcW w:w="5193" w:type="dxa"/>
            <w:tcBorders>
              <w:top w:val="nil"/>
              <w:bottom w:val="nil"/>
            </w:tcBorders>
          </w:tcPr>
          <w:p w14:paraId="7E84B5F2" w14:textId="77777777" w:rsidR="000E2E95" w:rsidRPr="005669CE" w:rsidRDefault="00DB0A1C" w:rsidP="00CE74C2">
            <w:pPr>
              <w:pStyle w:val="TableParagraph"/>
              <w:spacing w:line="265" w:lineRule="exact"/>
              <w:ind w:left="94"/>
              <w:jc w:val="both"/>
            </w:pPr>
            <w:r w:rsidRPr="005669CE">
              <w:rPr>
                <w:lang w:val="fr-FR"/>
              </w:rPr>
              <w:t>Spatules/Applicateurs en bois ou en plastique</w:t>
            </w:r>
          </w:p>
        </w:tc>
      </w:tr>
      <w:tr w:rsidR="000C10E3" w14:paraId="2199A6F8" w14:textId="77777777">
        <w:trPr>
          <w:trHeight w:val="300"/>
        </w:trPr>
        <w:tc>
          <w:tcPr>
            <w:tcW w:w="4168" w:type="dxa"/>
            <w:tcBorders>
              <w:top w:val="nil"/>
              <w:bottom w:val="nil"/>
            </w:tcBorders>
          </w:tcPr>
          <w:p w14:paraId="266F26D2" w14:textId="77777777" w:rsidR="000E2E95" w:rsidRPr="005669CE" w:rsidRDefault="00DB0A1C" w:rsidP="00CE74C2">
            <w:pPr>
              <w:pStyle w:val="TableParagraph"/>
              <w:spacing w:line="264" w:lineRule="exact"/>
              <w:ind w:left="107"/>
              <w:jc w:val="both"/>
            </w:pPr>
            <w:r w:rsidRPr="005669CE">
              <w:rPr>
                <w:lang w:val="fr-FR"/>
              </w:rPr>
              <w:t>Étuis pour lamelles</w:t>
            </w:r>
          </w:p>
        </w:tc>
        <w:tc>
          <w:tcPr>
            <w:tcW w:w="5193" w:type="dxa"/>
            <w:tcBorders>
              <w:top w:val="nil"/>
              <w:bottom w:val="nil"/>
            </w:tcBorders>
          </w:tcPr>
          <w:p w14:paraId="11310BAD" w14:textId="77777777" w:rsidR="000E2E95" w:rsidRPr="005669CE" w:rsidRDefault="00DB0A1C" w:rsidP="00CE74C2">
            <w:pPr>
              <w:pStyle w:val="TableParagraph"/>
              <w:spacing w:line="264" w:lineRule="exact"/>
              <w:ind w:left="94"/>
              <w:jc w:val="both"/>
            </w:pPr>
            <w:r w:rsidRPr="005669CE">
              <w:rPr>
                <w:lang w:val="fr-FR"/>
              </w:rPr>
              <w:t>Patron en plastique Kato-Katz</w:t>
            </w:r>
          </w:p>
        </w:tc>
      </w:tr>
      <w:tr w:rsidR="000C10E3" w14:paraId="087724E8" w14:textId="77777777">
        <w:trPr>
          <w:trHeight w:val="299"/>
        </w:trPr>
        <w:tc>
          <w:tcPr>
            <w:tcW w:w="4168" w:type="dxa"/>
            <w:tcBorders>
              <w:top w:val="nil"/>
              <w:bottom w:val="nil"/>
            </w:tcBorders>
          </w:tcPr>
          <w:p w14:paraId="1EA737A3" w14:textId="77777777" w:rsidR="000E2E95" w:rsidRPr="005669CE" w:rsidRDefault="00DB0A1C" w:rsidP="00CE74C2">
            <w:pPr>
              <w:pStyle w:val="TableParagraph"/>
              <w:spacing w:line="264" w:lineRule="exact"/>
              <w:ind w:left="107"/>
              <w:jc w:val="both"/>
            </w:pPr>
            <w:r w:rsidRPr="005669CE">
              <w:rPr>
                <w:lang w:val="fr-FR"/>
              </w:rPr>
              <w:t>Papier journal</w:t>
            </w:r>
          </w:p>
        </w:tc>
        <w:tc>
          <w:tcPr>
            <w:tcW w:w="5193" w:type="dxa"/>
            <w:tcBorders>
              <w:top w:val="nil"/>
              <w:bottom w:val="nil"/>
            </w:tcBorders>
          </w:tcPr>
          <w:p w14:paraId="100E1CE5" w14:textId="77777777" w:rsidR="000E2E95" w:rsidRPr="005669CE" w:rsidRDefault="00DB0A1C" w:rsidP="00CE74C2">
            <w:pPr>
              <w:pStyle w:val="TableParagraph"/>
              <w:spacing w:line="264" w:lineRule="exact"/>
              <w:ind w:left="94"/>
              <w:jc w:val="both"/>
            </w:pPr>
            <w:r w:rsidRPr="005669CE">
              <w:rPr>
                <w:lang w:val="fr-FR"/>
              </w:rPr>
              <w:t>Glycérol/Colorant (vert malachite ou bleu de méthylène)</w:t>
            </w:r>
          </w:p>
        </w:tc>
      </w:tr>
      <w:tr w:rsidR="000C10E3" w14:paraId="39AA971B" w14:textId="77777777">
        <w:trPr>
          <w:trHeight w:val="300"/>
        </w:trPr>
        <w:tc>
          <w:tcPr>
            <w:tcW w:w="4168" w:type="dxa"/>
            <w:tcBorders>
              <w:top w:val="nil"/>
              <w:bottom w:val="nil"/>
            </w:tcBorders>
          </w:tcPr>
          <w:p w14:paraId="5DCF9618" w14:textId="77777777" w:rsidR="000E2E95" w:rsidRPr="005669CE" w:rsidRDefault="00DB0A1C" w:rsidP="00CE74C2">
            <w:pPr>
              <w:pStyle w:val="TableParagraph"/>
              <w:spacing w:line="264" w:lineRule="exact"/>
              <w:ind w:left="107"/>
              <w:jc w:val="both"/>
            </w:pPr>
            <w:r w:rsidRPr="005669CE">
              <w:rPr>
                <w:lang w:val="fr-FR"/>
              </w:rPr>
              <w:t>Ciseaux</w:t>
            </w:r>
          </w:p>
        </w:tc>
        <w:tc>
          <w:tcPr>
            <w:tcW w:w="5193" w:type="dxa"/>
            <w:tcBorders>
              <w:top w:val="nil"/>
              <w:bottom w:val="nil"/>
            </w:tcBorders>
          </w:tcPr>
          <w:p w14:paraId="7FBE114C" w14:textId="77777777" w:rsidR="000E2E95" w:rsidRPr="005669CE" w:rsidRDefault="00DB0A1C" w:rsidP="00CE74C2">
            <w:pPr>
              <w:pStyle w:val="TableParagraph"/>
              <w:spacing w:line="264" w:lineRule="exact"/>
              <w:ind w:left="94"/>
              <w:jc w:val="both"/>
            </w:pPr>
            <w:r w:rsidRPr="005669CE">
              <w:rPr>
                <w:lang w:val="fr-FR"/>
              </w:rPr>
              <w:t>Conteneur à selles</w:t>
            </w:r>
          </w:p>
        </w:tc>
      </w:tr>
      <w:tr w:rsidR="000C10E3" w14:paraId="56654A96" w14:textId="77777777">
        <w:trPr>
          <w:trHeight w:val="295"/>
        </w:trPr>
        <w:tc>
          <w:tcPr>
            <w:tcW w:w="4168" w:type="dxa"/>
            <w:tcBorders>
              <w:top w:val="nil"/>
            </w:tcBorders>
          </w:tcPr>
          <w:p w14:paraId="6073C272" w14:textId="77777777" w:rsidR="000E2E95" w:rsidRPr="005669CE" w:rsidRDefault="00DB0A1C" w:rsidP="00CE74C2">
            <w:pPr>
              <w:pStyle w:val="TableParagraph"/>
              <w:spacing w:line="264" w:lineRule="exact"/>
              <w:ind w:left="107"/>
              <w:jc w:val="both"/>
            </w:pPr>
            <w:r w:rsidRPr="005669CE">
              <w:rPr>
                <w:lang w:val="fr-FR"/>
              </w:rPr>
              <w:t>Formulaire de saisie des données</w:t>
            </w:r>
          </w:p>
        </w:tc>
        <w:tc>
          <w:tcPr>
            <w:tcW w:w="5193" w:type="dxa"/>
            <w:tcBorders>
              <w:top w:val="nil"/>
            </w:tcBorders>
          </w:tcPr>
          <w:p w14:paraId="53F76EDF" w14:textId="77777777" w:rsidR="000E2E95" w:rsidRPr="005669CE" w:rsidRDefault="000E2E95" w:rsidP="00CE74C2">
            <w:pPr>
              <w:pStyle w:val="TableParagraph"/>
              <w:jc w:val="both"/>
              <w:rPr>
                <w:rFonts w:ascii="Times New Roman"/>
              </w:rPr>
            </w:pPr>
          </w:p>
        </w:tc>
      </w:tr>
    </w:tbl>
    <w:p w14:paraId="06EB33B6" w14:textId="77777777" w:rsidR="000E2E95" w:rsidRPr="005669CE" w:rsidRDefault="000E2E95" w:rsidP="00341A0D">
      <w:pPr>
        <w:pStyle w:val="BodyText"/>
      </w:pPr>
    </w:p>
    <w:p w14:paraId="082B9115" w14:textId="77777777" w:rsidR="000E2E95" w:rsidRPr="005669CE" w:rsidRDefault="00DB0A1C" w:rsidP="00AE017E">
      <w:pPr>
        <w:pStyle w:val="Heading2"/>
        <w:ind w:left="0"/>
      </w:pPr>
      <w:bookmarkStart w:id="25" w:name="_bookmark12"/>
      <w:bookmarkStart w:id="26" w:name="_Toc181011870"/>
      <w:bookmarkEnd w:id="25"/>
      <w:r w:rsidRPr="005669CE">
        <w:rPr>
          <w:lang w:val="fr-FR"/>
        </w:rPr>
        <w:lastRenderedPageBreak/>
        <w:t xml:space="preserve">Collecte électronique de données via ESPEN </w:t>
      </w:r>
      <w:proofErr w:type="spellStart"/>
      <w:r w:rsidRPr="005669CE">
        <w:rPr>
          <w:lang w:val="fr-FR"/>
        </w:rPr>
        <w:t>Collect</w:t>
      </w:r>
      <w:bookmarkEnd w:id="26"/>
      <w:proofErr w:type="spellEnd"/>
    </w:p>
    <w:p w14:paraId="0A697C71" w14:textId="77777777" w:rsidR="000E2E95" w:rsidRPr="005669CE" w:rsidRDefault="00DB0A1C" w:rsidP="00AE017E">
      <w:pPr>
        <w:pStyle w:val="BodyText"/>
        <w:spacing w:after="120"/>
        <w:ind w:left="0" w:right="306"/>
      </w:pPr>
      <w:r w:rsidRPr="005669CE">
        <w:rPr>
          <w:lang w:val="fr-FR"/>
        </w:rPr>
        <w:t xml:space="preserve">Il est recommandé d’utiliser la plateforme ESPEN </w:t>
      </w:r>
      <w:proofErr w:type="spellStart"/>
      <w:r w:rsidRPr="005669CE">
        <w:rPr>
          <w:lang w:val="fr-FR"/>
        </w:rPr>
        <w:t>Collect</w:t>
      </w:r>
      <w:proofErr w:type="spellEnd"/>
      <w:r w:rsidRPr="005669CE">
        <w:rPr>
          <w:lang w:val="fr-FR"/>
        </w:rPr>
        <w:t xml:space="preserve"> pour procéder à </w:t>
      </w:r>
      <w:proofErr w:type="spellStart"/>
      <w:r w:rsidRPr="005669CE">
        <w:rPr>
          <w:lang w:val="fr-FR"/>
        </w:rPr>
        <w:t>lma</w:t>
      </w:r>
      <w:proofErr w:type="spellEnd"/>
      <w:r w:rsidRPr="005669CE">
        <w:rPr>
          <w:lang w:val="fr-FR"/>
        </w:rPr>
        <w:t xml:space="preserve"> collecte électronique des données. ESPEN </w:t>
      </w:r>
      <w:proofErr w:type="spellStart"/>
      <w:r w:rsidRPr="005669CE">
        <w:rPr>
          <w:lang w:val="fr-FR"/>
        </w:rPr>
        <w:t>Collect</w:t>
      </w:r>
      <w:proofErr w:type="spellEnd"/>
      <w:r w:rsidRPr="005669CE">
        <w:rPr>
          <w:lang w:val="fr-FR"/>
        </w:rPr>
        <w:t xml:space="preserve"> dispose du formulaire scolaire standardisé SPPA, du formulaire d’inscription individuel et du formulaire de résultats diagnostiques (voir l’annexe 1). Pour obtenir de l’aide sur le système de collecte ESPEN, le chercheur principal doit procéder comme suit :</w:t>
      </w:r>
    </w:p>
    <w:p w14:paraId="0BD7BC2B" w14:textId="77777777" w:rsidR="000E2E95" w:rsidRPr="005669CE" w:rsidRDefault="00DB0A1C" w:rsidP="00AF3DD1">
      <w:pPr>
        <w:pStyle w:val="ListParagraph"/>
        <w:numPr>
          <w:ilvl w:val="1"/>
          <w:numId w:val="12"/>
        </w:numPr>
        <w:tabs>
          <w:tab w:val="left" w:pos="826"/>
        </w:tabs>
        <w:ind w:left="826" w:hanging="353"/>
        <w:jc w:val="both"/>
      </w:pPr>
      <w:r w:rsidRPr="005669CE">
        <w:rPr>
          <w:lang w:val="fr-FR"/>
        </w:rPr>
        <w:t xml:space="preserve">S’enregistrer sur ESPEN </w:t>
      </w:r>
      <w:proofErr w:type="spellStart"/>
      <w:r w:rsidRPr="005669CE">
        <w:rPr>
          <w:lang w:val="fr-FR"/>
        </w:rPr>
        <w:t>Collect</w:t>
      </w:r>
      <w:proofErr w:type="spellEnd"/>
      <w:r w:rsidRPr="005669CE">
        <w:rPr>
          <w:lang w:val="fr-FR"/>
        </w:rPr>
        <w:t xml:space="preserve"> ici : </w:t>
      </w:r>
      <w:hyperlink r:id="rId15" w:history="1">
        <w:r w:rsidRPr="005669CE">
          <w:rPr>
            <w:color w:val="1154CC"/>
            <w:u w:val="single" w:color="1154CC"/>
            <w:lang w:val="fr-FR"/>
          </w:rPr>
          <w:t>https://espen.afro.who.int/espen-collect-survey-registration</w:t>
        </w:r>
      </w:hyperlink>
    </w:p>
    <w:p w14:paraId="1DCE87F9" w14:textId="77777777" w:rsidR="000E2E95" w:rsidRPr="005669CE" w:rsidRDefault="00DB0A1C" w:rsidP="00AF3DD1">
      <w:pPr>
        <w:pStyle w:val="ListParagraph"/>
        <w:numPr>
          <w:ilvl w:val="1"/>
          <w:numId w:val="12"/>
        </w:numPr>
        <w:tabs>
          <w:tab w:val="left" w:pos="825"/>
          <w:tab w:val="left" w:pos="828"/>
        </w:tabs>
        <w:spacing w:before="39"/>
        <w:jc w:val="both"/>
      </w:pPr>
      <w:r w:rsidRPr="005669CE">
        <w:rPr>
          <w:lang w:val="fr-FR"/>
        </w:rPr>
        <w:t>Soumettre le protocole et l’approbation de l’IRB, ou une lettre officielle indiquant que l’approbation de l’IRB n’est pas nécessaire, au moment de l’inscription.</w:t>
      </w:r>
    </w:p>
    <w:p w14:paraId="17432138" w14:textId="77777777" w:rsidR="007A26F4" w:rsidRPr="005669CE" w:rsidRDefault="00DB0A1C" w:rsidP="00AF3DD1">
      <w:pPr>
        <w:pStyle w:val="ListParagraph"/>
        <w:numPr>
          <w:ilvl w:val="1"/>
          <w:numId w:val="12"/>
        </w:numPr>
        <w:tabs>
          <w:tab w:val="left" w:pos="826"/>
        </w:tabs>
        <w:spacing w:before="121"/>
        <w:ind w:left="826" w:hanging="353"/>
        <w:jc w:val="both"/>
      </w:pPr>
      <w:r w:rsidRPr="005669CE">
        <w:rPr>
          <w:lang w:val="fr-FR"/>
        </w:rPr>
        <w:t>L’état d’avancement de l’enregistrement, de la configuration et de la mise en œuvre peut être suivi ici :</w:t>
      </w:r>
    </w:p>
    <w:p w14:paraId="055E18F2" w14:textId="77777777" w:rsidR="000E2E95" w:rsidRPr="005669CE" w:rsidRDefault="007A26F4" w:rsidP="00AF3DD1">
      <w:pPr>
        <w:tabs>
          <w:tab w:val="left" w:pos="826"/>
        </w:tabs>
        <w:ind w:left="471"/>
        <w:jc w:val="both"/>
      </w:pPr>
      <w:hyperlink r:id="rId16" w:history="1">
        <w:r w:rsidRPr="005669CE">
          <w:rPr>
            <w:rStyle w:val="Hyperlink"/>
            <w:spacing w:val="-2"/>
            <w:lang w:val="fr-FR"/>
          </w:rPr>
          <w:t>https://espen.afro.who.int/tools-resources/espen-collect/registration-summary</w:t>
        </w:r>
      </w:hyperlink>
    </w:p>
    <w:p w14:paraId="05EFA6DA" w14:textId="77777777" w:rsidR="000E2E95" w:rsidRPr="005669CE" w:rsidRDefault="000E2E95" w:rsidP="00341A0D">
      <w:pPr>
        <w:pStyle w:val="BodyText"/>
      </w:pPr>
    </w:p>
    <w:p w14:paraId="55E0AFBE" w14:textId="77777777" w:rsidR="000E2E95" w:rsidRPr="005669CE" w:rsidRDefault="00DB0A1C" w:rsidP="00AE017E">
      <w:pPr>
        <w:pStyle w:val="Heading2"/>
        <w:ind w:left="0"/>
      </w:pPr>
      <w:bookmarkStart w:id="27" w:name="_bookmark13"/>
      <w:bookmarkStart w:id="28" w:name="_Data_Management"/>
      <w:bookmarkStart w:id="29" w:name="_Toc181011871"/>
      <w:bookmarkEnd w:id="27"/>
      <w:bookmarkEnd w:id="28"/>
      <w:r w:rsidRPr="005669CE">
        <w:rPr>
          <w:lang w:val="fr-FR"/>
        </w:rPr>
        <w:t>Gestion des données</w:t>
      </w:r>
      <w:bookmarkEnd w:id="29"/>
    </w:p>
    <w:p w14:paraId="27C2EEDB" w14:textId="77777777" w:rsidR="000E2E95" w:rsidRPr="005669CE" w:rsidRDefault="00DB0A1C" w:rsidP="00AE017E">
      <w:pPr>
        <w:pStyle w:val="BodyText"/>
        <w:ind w:left="0" w:right="-85"/>
      </w:pPr>
      <w:r w:rsidRPr="005669CE">
        <w:rPr>
          <w:lang w:val="fr-FR"/>
        </w:rPr>
        <w:t xml:space="preserve">La capacité à relier correctement les formulaires d’inscription des participants aux résultats de laboratoire correspondants (par exemple, filtration de l’urine, bandelettes </w:t>
      </w:r>
      <w:proofErr w:type="spellStart"/>
      <w:r w:rsidRPr="005669CE">
        <w:rPr>
          <w:lang w:val="fr-FR"/>
        </w:rPr>
        <w:t>Hemastix</w:t>
      </w:r>
      <w:proofErr w:type="spellEnd"/>
      <w:r w:rsidRPr="005669CE">
        <w:rPr>
          <w:lang w:val="fr-FR"/>
        </w:rPr>
        <w:t xml:space="preserve"> et technique de Kato-Katz) est un aspect essentiel de la gestion des données. Cela nécessite l’attribution et l’utilisation minutieuses d’identifiants uniques pour chaque individu. Pour maximiser les chances de faire correspondre les résultats de laboratoire et les formulaires d’inscription des participants avec exactitude, il est recommandé que les équipes chargées de l’enquête suivent les étapes ci-dessous :</w:t>
      </w:r>
    </w:p>
    <w:p w14:paraId="7C52116F" w14:textId="77777777" w:rsidR="000E2E95" w:rsidRPr="005669CE" w:rsidRDefault="00DB0A1C" w:rsidP="00AF3DD1">
      <w:pPr>
        <w:pStyle w:val="ListParagraph"/>
        <w:numPr>
          <w:ilvl w:val="0"/>
          <w:numId w:val="11"/>
        </w:numPr>
        <w:tabs>
          <w:tab w:val="left" w:pos="838"/>
          <w:tab w:val="left" w:pos="840"/>
          <w:tab w:val="left" w:pos="8505"/>
        </w:tabs>
        <w:spacing w:before="161" w:after="120" w:line="256" w:lineRule="auto"/>
        <w:ind w:left="482" w:right="-85" w:firstLine="0"/>
        <w:jc w:val="both"/>
      </w:pPr>
      <w:r w:rsidRPr="005669CE">
        <w:rPr>
          <w:lang w:val="fr-FR"/>
        </w:rPr>
        <w:t>Après avoir recensé les enfants et sélectionné les enfants d’âge scolaire participant à l’enquête, donner à chaque enfant un récipient pour les selles (et l’urine) et leur demande de prélever un échantillon.</w:t>
      </w:r>
    </w:p>
    <w:p w14:paraId="7373D345" w14:textId="77777777" w:rsidR="000E2E95" w:rsidRPr="005669CE" w:rsidRDefault="00DB0A1C" w:rsidP="00AF3DD1">
      <w:pPr>
        <w:pStyle w:val="ListParagraph"/>
        <w:numPr>
          <w:ilvl w:val="0"/>
          <w:numId w:val="11"/>
        </w:numPr>
        <w:tabs>
          <w:tab w:val="left" w:pos="838"/>
          <w:tab w:val="left" w:pos="840"/>
          <w:tab w:val="left" w:pos="8505"/>
        </w:tabs>
        <w:spacing w:before="4" w:after="120" w:line="259" w:lineRule="auto"/>
        <w:ind w:left="482" w:right="-85" w:firstLine="0"/>
        <w:jc w:val="both"/>
      </w:pPr>
      <w:r w:rsidRPr="005669CE">
        <w:rPr>
          <w:lang w:val="fr-FR"/>
        </w:rPr>
        <w:t xml:space="preserve">Lorsque les enfants reviennent avec leur(s) échantillon(s), les envoyer au bureau d’inscription où ils se verront attribuer un numéro d’identification unique en fonction de leur ordre d’arrivée ; cet identifiant se compose de CODE DISTRICT _ CODE UEP_NUMÉRO DE L’ENFANT. Par exemple, supposons que le code du district soit 36, que le code de l’UEP soit 002 et qu’il s’agisse du premier enfant à arriver avec son échantillon ; l’identifiant unique attribué sera alors le suivant : 36_002_01. Cet identifiant unique doit être clairement inscrit sur les récipients contenant les échantillons de l’enfant à l’aide d’un marqueur permanent, ainsi que sur le </w:t>
      </w:r>
      <w:hyperlink w:anchor="_Participant_Register_(paper)" w:history="1">
        <w:r w:rsidR="000E1DBA" w:rsidRPr="005669CE">
          <w:rPr>
            <w:rStyle w:val="Hyperlink"/>
            <w:lang w:val="fr-FR"/>
          </w:rPr>
          <w:t>Registre des participants</w:t>
        </w:r>
      </w:hyperlink>
      <w:r w:rsidRPr="005669CE">
        <w:rPr>
          <w:lang w:val="fr-FR"/>
        </w:rPr>
        <w:t>.</w:t>
      </w:r>
    </w:p>
    <w:p w14:paraId="3D7CF953" w14:textId="77777777" w:rsidR="000E2E95" w:rsidRPr="005669CE" w:rsidRDefault="00DB0A1C" w:rsidP="00AF3DD1">
      <w:pPr>
        <w:pStyle w:val="ListParagraph"/>
        <w:numPr>
          <w:ilvl w:val="0"/>
          <w:numId w:val="11"/>
        </w:numPr>
        <w:tabs>
          <w:tab w:val="left" w:pos="838"/>
          <w:tab w:val="left" w:pos="840"/>
          <w:tab w:val="left" w:pos="8505"/>
        </w:tabs>
        <w:spacing w:after="120" w:line="259" w:lineRule="auto"/>
        <w:ind w:left="482" w:right="-85" w:firstLine="0"/>
        <w:jc w:val="both"/>
      </w:pPr>
      <w:r w:rsidRPr="005669CE">
        <w:rPr>
          <w:lang w:val="fr-FR"/>
        </w:rPr>
        <w:t xml:space="preserve">Une fois l’identifiant unique attribué, la personne chargée de l’enregistrement des données doit remplir le formulaire du participant pour cet enfant en utilisant la plateforme ESPEN </w:t>
      </w:r>
      <w:proofErr w:type="spellStart"/>
      <w:r w:rsidRPr="005669CE">
        <w:rPr>
          <w:lang w:val="fr-FR"/>
        </w:rPr>
        <w:t>Collect</w:t>
      </w:r>
      <w:proofErr w:type="spellEnd"/>
      <w:r w:rsidRPr="005669CE">
        <w:rPr>
          <w:lang w:val="fr-FR"/>
        </w:rPr>
        <w:t xml:space="preserve"> sur le smartphone ou la tablette. La personne chargée de l’enregistrement des données devra procéder à une double saisie pour enregistrer l’identifiant unique de l’enfant afin de réduire les risques d’erreurs de frappe. Il est recommandé de toujours vérifier que l’identifiant unique saisi sur l’appareil correspond à celui qui figure sur le registre papier des participants.</w:t>
      </w:r>
    </w:p>
    <w:p w14:paraId="7E75B758" w14:textId="77777777" w:rsidR="000E2E95" w:rsidRPr="005669CE" w:rsidRDefault="00DB0A1C" w:rsidP="00AF3DD1">
      <w:pPr>
        <w:pStyle w:val="ListParagraph"/>
        <w:numPr>
          <w:ilvl w:val="0"/>
          <w:numId w:val="11"/>
        </w:numPr>
        <w:tabs>
          <w:tab w:val="left" w:pos="838"/>
          <w:tab w:val="left" w:pos="840"/>
          <w:tab w:val="left" w:pos="8505"/>
        </w:tabs>
        <w:spacing w:after="120" w:line="256" w:lineRule="auto"/>
        <w:ind w:left="482" w:right="-85" w:firstLine="0"/>
        <w:jc w:val="both"/>
      </w:pPr>
      <w:r w:rsidRPr="005669CE">
        <w:rPr>
          <w:lang w:val="fr-FR"/>
        </w:rPr>
        <w:t xml:space="preserve">Remarque : si une erreur est commise lors de la saisie des données dans ESPEN </w:t>
      </w:r>
      <w:proofErr w:type="spellStart"/>
      <w:r w:rsidRPr="005669CE">
        <w:rPr>
          <w:lang w:val="fr-FR"/>
        </w:rPr>
        <w:t>Collect</w:t>
      </w:r>
      <w:proofErr w:type="spellEnd"/>
      <w:r w:rsidRPr="005669CE">
        <w:rPr>
          <w:lang w:val="fr-FR"/>
        </w:rPr>
        <w:t>, la meilleure pratique consiste à enregistrer l’erreur dans une colonne de notes du registre des participants (par exemple, « pour le participant 36_002_17, le genre a été saisi par erreur comme étant ’masculin’ alors que la réponse correcte aurait dû être ‘féminin’). À la fin de la journée, la feuille de notes du registre des participants doit être envoyée (par photo texte ou par courriel) au gestionnaire de données afin que l’erreur puisse être immédiatement corrigée dans la base de données.</w:t>
      </w:r>
    </w:p>
    <w:p w14:paraId="0507B524" w14:textId="77777777" w:rsidR="000E2E95" w:rsidRPr="005669CE" w:rsidRDefault="00DB0A1C" w:rsidP="00AE017E">
      <w:pPr>
        <w:pStyle w:val="BodyText"/>
        <w:ind w:left="0" w:right="-85"/>
      </w:pPr>
      <w:r w:rsidRPr="005669CE">
        <w:rPr>
          <w:lang w:val="fr-FR"/>
        </w:rPr>
        <w:lastRenderedPageBreak/>
        <w:t xml:space="preserve">Après la collecte, les données sont téléchargées et automatiquement transférées via une connexion cryptée vers un serveur ESPEN </w:t>
      </w:r>
      <w:proofErr w:type="spellStart"/>
      <w:r w:rsidRPr="005669CE">
        <w:rPr>
          <w:lang w:val="fr-FR"/>
        </w:rPr>
        <w:t>Collect</w:t>
      </w:r>
      <w:proofErr w:type="spellEnd"/>
      <w:r w:rsidRPr="005669CE">
        <w:rPr>
          <w:lang w:val="fr-FR"/>
        </w:rPr>
        <w:t xml:space="preserve"> sécurisé si un réseau mobile est disponible dans la région. Si aucun réseau mobile n’est disponible, les données sont stockées sur le téléphone jusqu’à ce qu’elles puissent être transmises via une connexion Wi-Fi au même serveur sécurisé. L’accès au serveur sécurisé sera limité au personnel essentiel, dans le cadre de rôles d’utilisateur spécifiques. Le gestionnaire des données effectuera des contrôles quotidiens de la qualité (dans la mesure du possible) afin de garantir la qualité et l’exactitude des données téléchargées sur le serveur.</w:t>
      </w:r>
    </w:p>
    <w:p w14:paraId="2E21332A" w14:textId="77777777" w:rsidR="00F32013" w:rsidRDefault="00DB0A1C" w:rsidP="00F32013">
      <w:pPr>
        <w:pStyle w:val="BodyText"/>
        <w:ind w:left="0" w:right="-85"/>
        <w:rPr>
          <w:lang w:val="fr-FR"/>
        </w:rPr>
      </w:pPr>
      <w:r w:rsidRPr="005669CE">
        <w:rPr>
          <w:lang w:val="fr-FR"/>
        </w:rPr>
        <w:t>Les données seront stockées électroniquement dans les formats de fichiers spécifiés ci-dessus sur un serveur sécurisé. Ces données appartiennent au programme national NTD et sont destinées à la prise de décisions du programme. Il est prévu que le programme NTD partage les données dépersonnalisées au niveau du site avec ESPEN dans le cadre du formulaire de rapport épidémiologique (EPIRF) de routine et du processus d’application conjointe (JAP).</w:t>
      </w:r>
      <w:bookmarkStart w:id="30" w:name="_bookmark14"/>
      <w:bookmarkEnd w:id="30"/>
    </w:p>
    <w:p w14:paraId="0E9A3F82" w14:textId="77777777" w:rsidR="00F32013" w:rsidRDefault="00F32013" w:rsidP="00F32013">
      <w:pPr>
        <w:pStyle w:val="BodyText"/>
        <w:ind w:left="0" w:right="-85"/>
        <w:rPr>
          <w:lang w:val="fr-FR"/>
        </w:rPr>
      </w:pPr>
    </w:p>
    <w:p w14:paraId="4EA271E1" w14:textId="4AB4A13B" w:rsidR="000E2E95" w:rsidRPr="005669CE" w:rsidRDefault="00DB0A1C" w:rsidP="00F32013">
      <w:pPr>
        <w:pStyle w:val="Heading2"/>
      </w:pPr>
      <w:bookmarkStart w:id="31" w:name="_Toc181011872"/>
      <w:r w:rsidRPr="005669CE">
        <w:rPr>
          <w:lang w:val="fr-FR"/>
        </w:rPr>
        <w:t>Difficultés courantes</w:t>
      </w:r>
      <w:bookmarkEnd w:id="31"/>
    </w:p>
    <w:p w14:paraId="48F79E6D" w14:textId="77777777" w:rsidR="000E2E95" w:rsidRPr="005669CE" w:rsidRDefault="00DB0A1C" w:rsidP="005B45EB">
      <w:pPr>
        <w:spacing w:before="120"/>
        <w:jc w:val="both"/>
        <w:rPr>
          <w:i/>
        </w:rPr>
      </w:pPr>
      <w:r w:rsidRPr="005669CE">
        <w:rPr>
          <w:i/>
          <w:iCs/>
          <w:color w:val="44536A"/>
          <w:lang w:val="fr-FR"/>
        </w:rPr>
        <w:t>Que faire si l’on ne peut visiter une UEP ?</w:t>
      </w:r>
    </w:p>
    <w:p w14:paraId="5E85A5B2" w14:textId="77777777" w:rsidR="000E2E95" w:rsidRPr="005669CE" w:rsidRDefault="00DB0A1C" w:rsidP="005B45EB">
      <w:pPr>
        <w:pStyle w:val="BodyText"/>
        <w:ind w:left="0"/>
      </w:pPr>
      <w:r w:rsidRPr="005669CE">
        <w:rPr>
          <w:lang w:val="fr-FR"/>
        </w:rPr>
        <w:t>Si une ou plusieurs des UEP sélectionnées ne peuvent être visitées, une UEP de remplacement doit être sélectionnée de manière aléatoire dans le même sous-district. S’il n’y a aucune UEP non échantillonnée dans le sous-district dont l’accès est sûr, une UEP de remplacement peut être sélectionnée de manière aléatoire dans un sous-district voisin.</w:t>
      </w:r>
    </w:p>
    <w:p w14:paraId="48327F4C" w14:textId="77777777" w:rsidR="000E2E95" w:rsidRPr="005669CE" w:rsidRDefault="00DB0A1C" w:rsidP="005B45EB">
      <w:pPr>
        <w:spacing w:before="157"/>
        <w:jc w:val="both"/>
        <w:rPr>
          <w:i/>
        </w:rPr>
      </w:pPr>
      <w:r w:rsidRPr="005669CE">
        <w:rPr>
          <w:i/>
          <w:iCs/>
          <w:color w:val="44536A"/>
          <w:lang w:val="fr-FR"/>
        </w:rPr>
        <w:t>Que faire si une UEP comporte moins de 32 (pratique) / 22 (précision) enfants d’âge cible ?</w:t>
      </w:r>
    </w:p>
    <w:p w14:paraId="544A5416" w14:textId="77777777" w:rsidR="000E2E95" w:rsidRPr="005669CE" w:rsidRDefault="00DB0A1C" w:rsidP="005B45EB">
      <w:pPr>
        <w:pStyle w:val="BodyText"/>
        <w:ind w:left="0"/>
      </w:pPr>
      <w:r w:rsidRPr="005669CE">
        <w:rPr>
          <w:lang w:val="fr-FR"/>
        </w:rPr>
        <w:t>Si la taille de l’UEP est inférieure à celle de l’échantillon des enfants d’âge scolaire (10 à 14 ans) cibles, l’échantillonnage peut s’arrêter lorsque tous les enfants d’âge scolaire cibles disponibles ont été inscrits ; il n’est pas nécessaire de se rendre dans un site voisin pour atteindre la taille de l’échantillon.</w:t>
      </w:r>
    </w:p>
    <w:p w14:paraId="4288A2CA" w14:textId="77777777" w:rsidR="000E2E95" w:rsidRPr="005669CE" w:rsidRDefault="00DB0A1C" w:rsidP="005B45EB">
      <w:pPr>
        <w:spacing w:before="160" w:line="259" w:lineRule="auto"/>
        <w:ind w:right="1309"/>
        <w:jc w:val="both"/>
        <w:rPr>
          <w:i/>
        </w:rPr>
      </w:pPr>
      <w:r w:rsidRPr="005669CE">
        <w:rPr>
          <w:i/>
          <w:iCs/>
          <w:color w:val="44536A"/>
          <w:lang w:val="fr-FR"/>
        </w:rPr>
        <w:t>Que faire si moins de 32 (pratique) / 22 (précision) enfants d’âge scolaire cibles renvoient un échantillon d’urine et/ou de selles ?</w:t>
      </w:r>
    </w:p>
    <w:p w14:paraId="0ED9EE36" w14:textId="77777777" w:rsidR="000E2E95" w:rsidRPr="005669CE" w:rsidRDefault="00DB0A1C" w:rsidP="005B45EB">
      <w:pPr>
        <w:pStyle w:val="BodyText"/>
        <w:ind w:left="0"/>
      </w:pPr>
      <w:r w:rsidRPr="005669CE">
        <w:rPr>
          <w:lang w:val="fr-FR"/>
        </w:rPr>
        <w:t>Il est probable que certains enfants ne produisent pas d’échantillon d’urine ou de selles, c’est pourquoi deux enfants supplémentaires sont inclus dans l’intervalle d’échantillonnage. Si le nombre cible d’enfants échantillonnés ne produit pas d’échantillon d’urine et/ou de selles viable, l’équipe peut sélectionner d’autres enfants jusqu’à ce que la taille de l’échantillon cible soit atteinte.</w:t>
      </w:r>
    </w:p>
    <w:p w14:paraId="59944463" w14:textId="77777777" w:rsidR="000E2E95" w:rsidRPr="005669CE" w:rsidRDefault="000E2E95" w:rsidP="00341A0D">
      <w:pPr>
        <w:pStyle w:val="BodyText"/>
      </w:pPr>
    </w:p>
    <w:p w14:paraId="281081B4" w14:textId="77777777" w:rsidR="000E2E95" w:rsidRPr="005669CE" w:rsidRDefault="000E2E95" w:rsidP="00341A0D">
      <w:pPr>
        <w:pStyle w:val="BodyText"/>
      </w:pPr>
    </w:p>
    <w:p w14:paraId="1C4C93E9" w14:textId="77777777" w:rsidR="000E2E95" w:rsidRPr="005669CE" w:rsidRDefault="00DB0A1C" w:rsidP="005B45EB">
      <w:pPr>
        <w:pStyle w:val="Heading1"/>
        <w:spacing w:before="0"/>
        <w:ind w:left="0"/>
        <w:jc w:val="both"/>
      </w:pPr>
      <w:bookmarkStart w:id="32" w:name="_bookmark15"/>
      <w:bookmarkStart w:id="33" w:name="_Hlk162440721"/>
      <w:bookmarkStart w:id="34" w:name="_Toc181011873"/>
      <w:bookmarkEnd w:id="32"/>
      <w:r w:rsidRPr="5AD33FE0">
        <w:rPr>
          <w:color w:val="1F3863"/>
          <w:lang w:val="fr-FR"/>
        </w:rPr>
        <w:t xml:space="preserve">Méthodologie d’évaluation </w:t>
      </w:r>
      <w:bookmarkEnd w:id="33"/>
      <w:r w:rsidRPr="5AD33FE0">
        <w:rPr>
          <w:color w:val="1F3863"/>
          <w:lang w:val="fr-FR"/>
        </w:rPr>
        <w:t>- Analyse et interprétation des données</w:t>
      </w:r>
      <w:bookmarkEnd w:id="34"/>
    </w:p>
    <w:p w14:paraId="04125064" w14:textId="7846E506" w:rsidR="7864F068" w:rsidRDefault="7864F068" w:rsidP="5AD33FE0">
      <w:pPr>
        <w:spacing w:before="240" w:after="240"/>
      </w:pPr>
      <w:r w:rsidRPr="5AD33FE0">
        <w:rPr>
          <w:b/>
          <w:bCs/>
          <w:lang w:val="fr-FR"/>
        </w:rPr>
        <w:t>Considération générale :</w:t>
      </w:r>
      <w:r w:rsidRPr="5AD33FE0">
        <w:rPr>
          <w:lang w:val="fr-FR"/>
        </w:rPr>
        <w:t xml:space="preserve"> Avant d'utiliser les résultats de l'enquête pour guider la programmation ou la prise de décision, il est important d'évaluer à la fois la validité des résultats et les menaces potentielles à leur interprétation. Il s'agit d'évaluer si l'enquête a été menée comme prévu et d'identifier tout problème susceptible d'avoir eu une incidence sur les résultats. </w:t>
      </w:r>
    </w:p>
    <w:p w14:paraId="3D30C24A" w14:textId="0C11B6E7" w:rsidR="7864F068" w:rsidRDefault="7864F068" w:rsidP="5AD33FE0">
      <w:pPr>
        <w:spacing w:before="240" w:after="240"/>
      </w:pPr>
      <w:r w:rsidRPr="5AD33FE0">
        <w:rPr>
          <w:lang w:val="fr-FR"/>
        </w:rPr>
        <w:t xml:space="preserve">Il convient notamment de déterminer si la taille de l'échantillon requis a été atteinte sur chaque site et si tous </w:t>
      </w:r>
      <w:r w:rsidRPr="5AD33FE0">
        <w:rPr>
          <w:lang w:val="fr-FR"/>
        </w:rPr>
        <w:lastRenderedPageBreak/>
        <w:t xml:space="preserve">les sites prévus ont fait l'objet d'une enquête. En outre, il est important d'examiner les problèmes liés à la collecte des données, les écarts par rapport aux procédures d'enquête prévues et la manière dont ces procédures ont été contrôlées tout au long du processus d'enquête. Par exemple, il faut évaluer si les procédures de laboratoire ont été exécutées comme prévu. Un autre facteur consiste à évaluer si la population de l'enquête correspond à la population cible prévue. Par exemple, la fréquentation scolaire est-elle suffisamment élevée pour que l'on puisse raisonnablement supposer que la prévalence mesurée chez les enfants scolarisés s'applique à l'ensemble de la population d'âge scolaire de la communauté ? Enfin, évaluez si les résultats correspondent aux attentes initiales. S'il y a des divergences, examinez ce qui pourrait les expliquer. </w:t>
      </w:r>
    </w:p>
    <w:p w14:paraId="0B4E7310" w14:textId="6D9D6F5A" w:rsidR="7864F068" w:rsidRDefault="7864F068" w:rsidP="5AD33FE0">
      <w:pPr>
        <w:spacing w:before="240" w:after="240"/>
      </w:pPr>
      <w:r w:rsidRPr="5AD33FE0">
        <w:rPr>
          <w:lang w:val="fr-FR"/>
        </w:rPr>
        <w:t>L'examen et la documentation de ces considérations permettront d'évaluer comment les limites de l'enquête peuvent affecter la validité des résultats et d'orienter les ajustements nécessaires à l'interprétation.</w:t>
      </w:r>
    </w:p>
    <w:p w14:paraId="40D309FE" w14:textId="77777777" w:rsidR="000E2E95" w:rsidRPr="005669CE" w:rsidRDefault="00DB0A1C" w:rsidP="00452048">
      <w:pPr>
        <w:pStyle w:val="Heading2"/>
        <w:spacing w:before="159"/>
        <w:ind w:left="0"/>
      </w:pPr>
      <w:bookmarkStart w:id="35" w:name="_bookmark16"/>
      <w:bookmarkStart w:id="36" w:name="_Toc181011874"/>
      <w:bookmarkEnd w:id="35"/>
      <w:r w:rsidRPr="005669CE">
        <w:rPr>
          <w:lang w:val="fr-FR"/>
        </w:rPr>
        <w:t>Analyse et interprétation pour l’</w:t>
      </w:r>
      <w:r w:rsidRPr="005669CE">
        <w:rPr>
          <w:u w:val="single"/>
          <w:lang w:val="fr-FR"/>
        </w:rPr>
        <w:t>Évaluation pratique</w:t>
      </w:r>
      <w:bookmarkEnd w:id="36"/>
    </w:p>
    <w:p w14:paraId="7B331F86" w14:textId="77777777" w:rsidR="000E2E95" w:rsidRPr="005669CE" w:rsidRDefault="00DB0A1C" w:rsidP="005B45EB">
      <w:pPr>
        <w:spacing w:before="120" w:line="259" w:lineRule="auto"/>
        <w:ind w:right="305"/>
        <w:jc w:val="both"/>
      </w:pPr>
      <w:r w:rsidRPr="005669CE">
        <w:rPr>
          <w:b/>
          <w:bCs/>
          <w:lang w:val="fr-FR"/>
        </w:rPr>
        <w:t xml:space="preserve">Pour l’évaluation pratique, l’unité d’analyse clé est la prévalence par UEP, </w:t>
      </w:r>
      <w:r w:rsidRPr="005669CE">
        <w:rPr>
          <w:lang w:val="fr-FR"/>
        </w:rPr>
        <w:t xml:space="preserve">et non la prévalence moyenne globale de l’enquête. Une fois que les 15 UEP d’un district ont été visitées et que les données ont été nettoyées, la première étape de l’analyse consiste à résumer les </w:t>
      </w:r>
      <w:proofErr w:type="gramStart"/>
      <w:r w:rsidRPr="005669CE">
        <w:rPr>
          <w:lang w:val="fr-FR"/>
        </w:rPr>
        <w:t xml:space="preserve">données </w:t>
      </w:r>
      <w:r w:rsidRPr="005669CE">
        <w:rPr>
          <w:b/>
          <w:bCs/>
          <w:lang w:val="fr-FR"/>
        </w:rPr>
        <w:t xml:space="preserve"> par</w:t>
      </w:r>
      <w:proofErr w:type="gramEnd"/>
      <w:r w:rsidRPr="005669CE">
        <w:rPr>
          <w:b/>
          <w:bCs/>
          <w:lang w:val="fr-FR"/>
        </w:rPr>
        <w:t xml:space="preserve"> UEP </w:t>
      </w:r>
      <w:r w:rsidRPr="005669CE">
        <w:rPr>
          <w:lang w:val="fr-FR"/>
        </w:rPr>
        <w:t xml:space="preserve"> (c’est-à-dire par école/communauté). Pour ce faire, le gestionnaire des données doit calculer la prévalence de SCH dans chaque UEP comme suit :</w:t>
      </w:r>
    </w:p>
    <w:p w14:paraId="734D581B" w14:textId="77777777" w:rsidR="004E769A" w:rsidRDefault="004E769A" w:rsidP="005B45EB">
      <w:pPr>
        <w:tabs>
          <w:tab w:val="left" w:pos="2489"/>
        </w:tabs>
        <w:spacing w:before="158"/>
        <w:ind w:right="2655"/>
        <w:jc w:val="both"/>
        <w:rPr>
          <w:i/>
          <w:sz w:val="24"/>
        </w:rPr>
      </w:pPr>
    </w:p>
    <w:p w14:paraId="7939EA88" w14:textId="77777777" w:rsidR="000E2E95" w:rsidRPr="005669CE" w:rsidRDefault="00DB0A1C" w:rsidP="00E80D99">
      <w:pPr>
        <w:tabs>
          <w:tab w:val="left" w:pos="2489"/>
        </w:tabs>
        <w:spacing w:before="158"/>
        <w:ind w:right="1356"/>
        <w:jc w:val="both"/>
        <w:rPr>
          <w:i/>
          <w:sz w:val="24"/>
        </w:rPr>
      </w:pPr>
      <w:r w:rsidRPr="005669CE">
        <w:rPr>
          <w:i/>
          <w:iCs/>
          <w:sz w:val="24"/>
          <w:lang w:val="fr-FR"/>
        </w:rPr>
        <w:t xml:space="preserve"> Prévalence dans l’UEP =</w:t>
      </w:r>
      <w:r w:rsidRPr="005669CE">
        <w:rPr>
          <w:i/>
          <w:iCs/>
          <w:sz w:val="24"/>
          <w:u w:val="single"/>
          <w:lang w:val="fr-FR"/>
        </w:rPr>
        <w:t>nombre d’enfants d’âge scolaire testés positifs à la SCH dans l’UEP</w:t>
      </w:r>
    </w:p>
    <w:p w14:paraId="3DE764CF" w14:textId="77777777" w:rsidR="000E2E95" w:rsidRPr="005669CE" w:rsidRDefault="00DB0A1C" w:rsidP="00E80D99">
      <w:pPr>
        <w:spacing w:before="24"/>
        <w:ind w:left="1582" w:right="96" w:firstLine="578"/>
        <w:rPr>
          <w:i/>
          <w:sz w:val="24"/>
        </w:rPr>
      </w:pPr>
      <w:r w:rsidRPr="005669CE">
        <w:rPr>
          <w:i/>
          <w:iCs/>
          <w:sz w:val="24"/>
          <w:lang w:val="fr-FR"/>
        </w:rPr>
        <w:t>Nombre total d’enfants d’âge scolaire avec un résultat de test valide dans la PSU</w:t>
      </w:r>
    </w:p>
    <w:p w14:paraId="71132759" w14:textId="77777777" w:rsidR="004E769A" w:rsidRDefault="004E769A" w:rsidP="005B45EB">
      <w:pPr>
        <w:pStyle w:val="BodyText"/>
        <w:ind w:left="0"/>
      </w:pPr>
    </w:p>
    <w:p w14:paraId="06D96C7C" w14:textId="77777777" w:rsidR="000E2E95" w:rsidRPr="005669CE" w:rsidRDefault="00DB0A1C" w:rsidP="005B45EB">
      <w:pPr>
        <w:pStyle w:val="BodyText"/>
        <w:ind w:left="0"/>
      </w:pPr>
      <w:r w:rsidRPr="005669CE">
        <w:rPr>
          <w:lang w:val="fr-FR"/>
        </w:rPr>
        <w:t xml:space="preserve">Notez que si plusieurs espèces de SCH sont présentes dans le district, les résultats peuvent être combinés, de sorte qu’un enfant </w:t>
      </w:r>
      <w:r w:rsidRPr="005669CE">
        <w:rPr>
          <w:b/>
          <w:bCs/>
          <w:lang w:val="fr-FR"/>
        </w:rPr>
        <w:t xml:space="preserve">porteur </w:t>
      </w:r>
      <w:r w:rsidRPr="005669CE">
        <w:rPr>
          <w:b/>
          <w:bCs/>
          <w:i/>
          <w:iCs/>
          <w:u w:val="single"/>
          <w:lang w:val="fr-FR"/>
        </w:rPr>
        <w:t xml:space="preserve">soit </w:t>
      </w:r>
      <w:r w:rsidRPr="005669CE">
        <w:rPr>
          <w:lang w:val="fr-FR"/>
        </w:rPr>
        <w:t xml:space="preserve">de </w:t>
      </w:r>
      <w:r w:rsidRPr="005669CE">
        <w:rPr>
          <w:b/>
          <w:bCs/>
          <w:i/>
          <w:iCs/>
          <w:lang w:val="fr-FR"/>
        </w:rPr>
        <w:t xml:space="preserve">S. </w:t>
      </w:r>
      <w:proofErr w:type="spellStart"/>
      <w:r w:rsidRPr="005669CE">
        <w:rPr>
          <w:b/>
          <w:bCs/>
          <w:i/>
          <w:iCs/>
          <w:lang w:val="fr-FR"/>
        </w:rPr>
        <w:t>haematobium</w:t>
      </w:r>
      <w:proofErr w:type="spellEnd"/>
      <w:r w:rsidRPr="005669CE">
        <w:rPr>
          <w:b/>
          <w:bCs/>
          <w:i/>
          <w:iCs/>
          <w:lang w:val="fr-FR"/>
        </w:rPr>
        <w:t xml:space="preserve"> </w:t>
      </w:r>
      <w:r w:rsidRPr="005669CE">
        <w:rPr>
          <w:b/>
          <w:bCs/>
          <w:lang w:val="fr-FR"/>
        </w:rPr>
        <w:t xml:space="preserve">soit </w:t>
      </w:r>
      <w:r w:rsidRPr="005669CE">
        <w:rPr>
          <w:lang w:val="fr-FR"/>
        </w:rPr>
        <w:t xml:space="preserve">de </w:t>
      </w:r>
      <w:r w:rsidRPr="005669CE">
        <w:rPr>
          <w:b/>
          <w:bCs/>
          <w:i/>
          <w:iCs/>
          <w:lang w:val="fr-FR"/>
        </w:rPr>
        <w:t xml:space="preserve">S. </w:t>
      </w:r>
      <w:proofErr w:type="spellStart"/>
      <w:r w:rsidRPr="005669CE">
        <w:rPr>
          <w:b/>
          <w:bCs/>
          <w:i/>
          <w:iCs/>
          <w:lang w:val="fr-FR"/>
        </w:rPr>
        <w:t>mansoni</w:t>
      </w:r>
      <w:proofErr w:type="spellEnd"/>
      <w:r w:rsidRPr="005669CE">
        <w:rPr>
          <w:b/>
          <w:bCs/>
          <w:i/>
          <w:iCs/>
          <w:lang w:val="fr-FR"/>
        </w:rPr>
        <w:t xml:space="preserve"> </w:t>
      </w:r>
      <w:r w:rsidRPr="005669CE">
        <w:rPr>
          <w:b/>
          <w:bCs/>
          <w:lang w:val="fr-FR"/>
        </w:rPr>
        <w:t>serait considéré comme « positif à la SCH »</w:t>
      </w:r>
      <w:r w:rsidRPr="005669CE">
        <w:rPr>
          <w:lang w:val="fr-FR"/>
        </w:rPr>
        <w:t xml:space="preserve"> et devrait apparaître une fois dans le numérateur et une fois dans le dénominateur. Une fois la prévalence de la SCH calculée pour chaque UEP, les résultats de l’UEP doivent être saisis dans le </w:t>
      </w:r>
      <w:r w:rsidR="003126C2" w:rsidRPr="007E58CF">
        <w:rPr>
          <w:b/>
          <w:bCs/>
          <w:i/>
          <w:iCs/>
          <w:color w:val="1154CC"/>
          <w:lang w:val="fr-FR"/>
        </w:rPr>
        <w:t>Formulaire de saisie des résultats de l’outil SPPA</w:t>
      </w:r>
      <w:r w:rsidRPr="005669CE">
        <w:rPr>
          <w:lang w:val="fr-FR"/>
        </w:rPr>
        <w:t xml:space="preserve"> (Tableau 2), dont un fichier Excel peut être téléchargé à partir de la page Web de l’</w:t>
      </w:r>
      <w:hyperlink r:id="rId17" w:history="1">
        <w:r w:rsidR="00876E97" w:rsidRPr="00876E97">
          <w:rPr>
            <w:rStyle w:val="Hyperlink"/>
            <w:lang w:val="fr-FR"/>
          </w:rPr>
          <w:t>ESPEN sur l’outil d’évaluation pratique et de précision de la schistosomiase (SPPA)</w:t>
        </w:r>
      </w:hyperlink>
      <w:r w:rsidRPr="005669CE">
        <w:rPr>
          <w:lang w:val="fr-FR"/>
        </w:rPr>
        <w:t xml:space="preserve"> et l’équipe doit se référer à l’arbre de décision (Figure 1, recopiée ci-dessous) afin d’identifier la réponse appropriée pour le programme.</w:t>
      </w:r>
    </w:p>
    <w:p w14:paraId="5E237AEE" w14:textId="77777777" w:rsidR="000E2E95" w:rsidRPr="005669CE" w:rsidRDefault="000E2E95" w:rsidP="00CE74C2">
      <w:pPr>
        <w:spacing w:line="259" w:lineRule="auto"/>
        <w:jc w:val="both"/>
        <w:sectPr w:rsidR="000E2E95" w:rsidRPr="005669CE" w:rsidSect="008622E9">
          <w:pgSz w:w="12240" w:h="15840"/>
          <w:pgMar w:top="1440" w:right="1077" w:bottom="1440" w:left="1077" w:header="720" w:footer="720" w:gutter="0"/>
          <w:cols w:space="720"/>
        </w:sectPr>
      </w:pPr>
    </w:p>
    <w:p w14:paraId="122FEAE9" w14:textId="1E21A8A1" w:rsidR="000E2E95" w:rsidRPr="005669CE" w:rsidRDefault="00E80D99" w:rsidP="00E80D99">
      <w:pPr>
        <w:pStyle w:val="BodyText"/>
        <w:ind w:left="0"/>
      </w:pPr>
      <w:r>
        <w:rPr>
          <w:noProof/>
        </w:rPr>
        <w:lastRenderedPageBreak/>
        <w:drawing>
          <wp:inline distT="0" distB="0" distL="0" distR="0" wp14:anchorId="058AD74F" wp14:editId="60F5556F">
            <wp:extent cx="6410325" cy="2596515"/>
            <wp:effectExtent l="0" t="0" r="9525" b="0"/>
            <wp:docPr id="548339810" name="Picture 1" descr="A diagram of a proces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339810" name="Picture 1" descr="A diagram of a process&#10;&#10;Description automatically generated with medium confidence"/>
                    <pic:cNvPicPr/>
                  </pic:nvPicPr>
                  <pic:blipFill>
                    <a:blip r:embed="rId18"/>
                    <a:stretch>
                      <a:fillRect/>
                    </a:stretch>
                  </pic:blipFill>
                  <pic:spPr>
                    <a:xfrm>
                      <a:off x="0" y="0"/>
                      <a:ext cx="6411273" cy="2596899"/>
                    </a:xfrm>
                    <a:prstGeom prst="rect">
                      <a:avLst/>
                    </a:prstGeom>
                  </pic:spPr>
                </pic:pic>
              </a:graphicData>
            </a:graphic>
          </wp:inline>
        </w:drawing>
      </w:r>
      <w:r>
        <w:rPr>
          <w:noProof/>
        </w:rPr>
        <w:t xml:space="preserve"> </w:t>
      </w:r>
      <w:r w:rsidRPr="005669CE">
        <w:rPr>
          <w:noProof/>
        </w:rPr>
        <w:t xml:space="preserve"> </w:t>
      </w:r>
    </w:p>
    <w:p w14:paraId="53539614" w14:textId="77777777" w:rsidR="000E2E95" w:rsidRPr="005669CE" w:rsidRDefault="000E2E95" w:rsidP="00341A0D">
      <w:pPr>
        <w:pStyle w:val="BodyText"/>
      </w:pPr>
    </w:p>
    <w:p w14:paraId="48B16843" w14:textId="77777777" w:rsidR="000E2E95" w:rsidRPr="008E6F1B" w:rsidRDefault="00DB0A1C" w:rsidP="008E6F1B">
      <w:pPr>
        <w:spacing w:after="160"/>
        <w:jc w:val="both"/>
        <w:rPr>
          <w:b/>
        </w:rPr>
      </w:pPr>
      <w:r w:rsidRPr="005669CE">
        <w:rPr>
          <w:b/>
          <w:bCs/>
          <w:color w:val="44536A"/>
          <w:lang w:val="fr-FR"/>
        </w:rPr>
        <w:t>Tableau 2 Formulaire de saisie des résultats de l’évaluation pratique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8"/>
        <w:gridCol w:w="1844"/>
        <w:gridCol w:w="1701"/>
        <w:gridCol w:w="4693"/>
      </w:tblGrid>
      <w:tr w:rsidR="000C10E3" w14:paraId="132FA738" w14:textId="77777777" w:rsidTr="000365DB">
        <w:trPr>
          <w:trHeight w:val="534"/>
        </w:trPr>
        <w:tc>
          <w:tcPr>
            <w:tcW w:w="912" w:type="pct"/>
          </w:tcPr>
          <w:p w14:paraId="58F9BADD" w14:textId="77777777" w:rsidR="000E2E95" w:rsidRPr="005669CE" w:rsidRDefault="00DB0A1C" w:rsidP="00CE74C2">
            <w:pPr>
              <w:pStyle w:val="TableParagraph"/>
              <w:spacing w:line="268" w:lineRule="exact"/>
              <w:ind w:left="107"/>
              <w:jc w:val="both"/>
              <w:rPr>
                <w:b/>
              </w:rPr>
            </w:pPr>
            <w:r w:rsidRPr="005669CE">
              <w:rPr>
                <w:b/>
                <w:bCs/>
                <w:lang w:val="fr-FR"/>
              </w:rPr>
              <w:t>Nom du district</w:t>
            </w:r>
          </w:p>
        </w:tc>
        <w:tc>
          <w:tcPr>
            <w:tcW w:w="915" w:type="pct"/>
          </w:tcPr>
          <w:p w14:paraId="7F829908" w14:textId="77777777" w:rsidR="000E2E95" w:rsidRPr="005669CE" w:rsidRDefault="00DB0A1C" w:rsidP="00CE74C2">
            <w:pPr>
              <w:pStyle w:val="TableParagraph"/>
              <w:spacing w:line="267" w:lineRule="exact"/>
              <w:ind w:left="107"/>
              <w:jc w:val="both"/>
              <w:rPr>
                <w:b/>
              </w:rPr>
            </w:pPr>
            <w:r w:rsidRPr="005669CE">
              <w:rPr>
                <w:b/>
                <w:bCs/>
              </w:rPr>
              <w:t>Number of sites</w:t>
            </w:r>
          </w:p>
          <w:p w14:paraId="5035C58F" w14:textId="77777777" w:rsidR="000E2E95" w:rsidRPr="005669CE" w:rsidRDefault="00DB0A1C" w:rsidP="00CE74C2">
            <w:pPr>
              <w:pStyle w:val="TableParagraph"/>
              <w:spacing w:line="248" w:lineRule="exact"/>
              <w:ind w:left="107"/>
              <w:jc w:val="both"/>
              <w:rPr>
                <w:b/>
              </w:rPr>
            </w:pPr>
            <w:r w:rsidRPr="005669CE">
              <w:rPr>
                <w:b/>
                <w:bCs/>
              </w:rPr>
              <w:t>with ≥10% SCH</w:t>
            </w:r>
          </w:p>
        </w:tc>
        <w:tc>
          <w:tcPr>
            <w:tcW w:w="844" w:type="pct"/>
          </w:tcPr>
          <w:p w14:paraId="39E8F051" w14:textId="77777777" w:rsidR="000E2E95" w:rsidRPr="005669CE" w:rsidRDefault="00DB0A1C" w:rsidP="00CE74C2">
            <w:pPr>
              <w:pStyle w:val="TableParagraph"/>
              <w:spacing w:line="267" w:lineRule="exact"/>
              <w:ind w:left="108"/>
              <w:jc w:val="both"/>
              <w:rPr>
                <w:b/>
              </w:rPr>
            </w:pPr>
            <w:r w:rsidRPr="005669CE">
              <w:rPr>
                <w:b/>
                <w:bCs/>
              </w:rPr>
              <w:t>Number of sites</w:t>
            </w:r>
          </w:p>
          <w:p w14:paraId="38582672" w14:textId="77777777" w:rsidR="000E2E95" w:rsidRPr="005669CE" w:rsidRDefault="00DB0A1C" w:rsidP="00CE74C2">
            <w:pPr>
              <w:pStyle w:val="TableParagraph"/>
              <w:spacing w:line="248" w:lineRule="exact"/>
              <w:ind w:left="108"/>
              <w:jc w:val="both"/>
              <w:rPr>
                <w:b/>
              </w:rPr>
            </w:pPr>
            <w:r w:rsidRPr="005669CE">
              <w:rPr>
                <w:b/>
                <w:bCs/>
              </w:rPr>
              <w:t>with &lt;10% SCH</w:t>
            </w:r>
          </w:p>
        </w:tc>
        <w:tc>
          <w:tcPr>
            <w:tcW w:w="2329" w:type="pct"/>
          </w:tcPr>
          <w:p w14:paraId="28C7C725" w14:textId="77777777" w:rsidR="000E2E95" w:rsidRPr="005669CE" w:rsidRDefault="00DB0A1C" w:rsidP="00CE74C2">
            <w:pPr>
              <w:pStyle w:val="TableParagraph"/>
              <w:spacing w:line="268" w:lineRule="exact"/>
              <w:ind w:left="108"/>
              <w:jc w:val="both"/>
              <w:rPr>
                <w:b/>
              </w:rPr>
            </w:pPr>
            <w:r w:rsidRPr="005669CE">
              <w:rPr>
                <w:b/>
                <w:bCs/>
                <w:lang w:val="fr-FR"/>
              </w:rPr>
              <w:t>Décision du programme :</w:t>
            </w:r>
          </w:p>
        </w:tc>
      </w:tr>
      <w:tr w:rsidR="000C10E3" w14:paraId="134EEC97" w14:textId="77777777" w:rsidTr="000365DB">
        <w:trPr>
          <w:trHeight w:val="340"/>
        </w:trPr>
        <w:tc>
          <w:tcPr>
            <w:tcW w:w="912" w:type="pct"/>
          </w:tcPr>
          <w:p w14:paraId="262EBB7A" w14:textId="77777777" w:rsidR="000E2E95" w:rsidRPr="005669CE" w:rsidRDefault="000E2E95" w:rsidP="00CE74C2">
            <w:pPr>
              <w:pStyle w:val="TableParagraph"/>
              <w:spacing w:before="12"/>
              <w:jc w:val="both"/>
              <w:rPr>
                <w:b/>
                <w:sz w:val="20"/>
              </w:rPr>
            </w:pPr>
          </w:p>
          <w:p w14:paraId="69DB10A2" w14:textId="77777777" w:rsidR="000E2E95" w:rsidRPr="005669CE" w:rsidRDefault="00DB0A1C" w:rsidP="00CE74C2">
            <w:pPr>
              <w:pStyle w:val="TableParagraph"/>
              <w:spacing w:before="1"/>
              <w:ind w:left="107"/>
              <w:jc w:val="both"/>
              <w:rPr>
                <w:rFonts w:ascii="Century Gothic"/>
                <w:i/>
                <w:sz w:val="20"/>
              </w:rPr>
            </w:pPr>
            <w:r w:rsidRPr="005669CE">
              <w:rPr>
                <w:rFonts w:ascii="Century Gothic"/>
                <w:i/>
                <w:iCs/>
                <w:w w:val="105"/>
                <w:sz w:val="20"/>
                <w:lang w:val="fr-FR"/>
              </w:rPr>
              <w:t>p.</w:t>
            </w:r>
            <w:r w:rsidRPr="005669CE">
              <w:rPr>
                <w:rFonts w:ascii="Century Gothic"/>
                <w:i/>
                <w:iCs/>
                <w:w w:val="105"/>
                <w:sz w:val="20"/>
                <w:lang w:val="fr-FR"/>
              </w:rPr>
              <w:t> </w:t>
            </w:r>
            <w:r w:rsidRPr="005669CE">
              <w:rPr>
                <w:rFonts w:ascii="Century Gothic"/>
                <w:i/>
                <w:iCs/>
                <w:w w:val="105"/>
                <w:sz w:val="20"/>
                <w:lang w:val="fr-FR"/>
              </w:rPr>
              <w:t xml:space="preserve">ex., </w:t>
            </w:r>
            <w:proofErr w:type="spellStart"/>
            <w:r w:rsidRPr="005669CE">
              <w:rPr>
                <w:rFonts w:ascii="Century Gothic"/>
                <w:i/>
                <w:iCs/>
                <w:w w:val="105"/>
                <w:sz w:val="20"/>
                <w:lang w:val="fr-FR"/>
              </w:rPr>
              <w:t>Murkonna</w:t>
            </w:r>
            <w:proofErr w:type="spellEnd"/>
          </w:p>
        </w:tc>
        <w:tc>
          <w:tcPr>
            <w:tcW w:w="915" w:type="pct"/>
          </w:tcPr>
          <w:p w14:paraId="141A047A" w14:textId="77777777" w:rsidR="000E2E95" w:rsidRPr="005669CE" w:rsidRDefault="00DB0A1C" w:rsidP="00CE74C2">
            <w:pPr>
              <w:pStyle w:val="TableParagraph"/>
              <w:spacing w:before="251"/>
              <w:ind w:left="107"/>
              <w:jc w:val="both"/>
              <w:rPr>
                <w:i/>
              </w:rPr>
            </w:pPr>
            <w:r w:rsidRPr="005669CE">
              <w:rPr>
                <w:i/>
                <w:iCs/>
                <w:spacing w:val="-10"/>
                <w:lang w:val="fr-FR"/>
              </w:rPr>
              <w:t>9</w:t>
            </w:r>
          </w:p>
        </w:tc>
        <w:tc>
          <w:tcPr>
            <w:tcW w:w="844" w:type="pct"/>
          </w:tcPr>
          <w:p w14:paraId="452A65D5" w14:textId="77777777" w:rsidR="000E2E95" w:rsidRPr="005669CE" w:rsidRDefault="00DB0A1C" w:rsidP="00CE74C2">
            <w:pPr>
              <w:pStyle w:val="TableParagraph"/>
              <w:spacing w:before="251"/>
              <w:ind w:left="108"/>
              <w:jc w:val="both"/>
              <w:rPr>
                <w:i/>
              </w:rPr>
            </w:pPr>
            <w:r w:rsidRPr="005669CE">
              <w:rPr>
                <w:i/>
                <w:iCs/>
                <w:spacing w:val="-10"/>
                <w:lang w:val="fr-FR"/>
              </w:rPr>
              <w:t>6</w:t>
            </w:r>
          </w:p>
        </w:tc>
        <w:tc>
          <w:tcPr>
            <w:tcW w:w="2329" w:type="pct"/>
          </w:tcPr>
          <w:p w14:paraId="069167FC" w14:textId="77777777" w:rsidR="000E2E95" w:rsidRPr="005669CE" w:rsidRDefault="00DB0A1C" w:rsidP="000365DB">
            <w:pPr>
              <w:pStyle w:val="TableParagraph"/>
              <w:spacing w:line="252" w:lineRule="auto"/>
              <w:ind w:left="108"/>
              <w:rPr>
                <w:rFonts w:ascii="Century Gothic"/>
                <w:i/>
                <w:sz w:val="20"/>
              </w:rPr>
            </w:pPr>
            <w:r w:rsidRPr="005669CE">
              <w:rPr>
                <w:rFonts w:ascii="Century Gothic"/>
                <w:i/>
                <w:iCs/>
                <w:w w:val="120"/>
                <w:sz w:val="20"/>
                <w:lang w:val="fr-FR"/>
              </w:rPr>
              <w:t xml:space="preserve"> Chimioth</w:t>
            </w:r>
            <w:r w:rsidRPr="005669CE">
              <w:rPr>
                <w:rFonts w:ascii="Century Gothic"/>
                <w:i/>
                <w:iCs/>
                <w:w w:val="120"/>
                <w:sz w:val="20"/>
                <w:lang w:val="fr-FR"/>
              </w:rPr>
              <w:t>é</w:t>
            </w:r>
            <w:r w:rsidRPr="005669CE">
              <w:rPr>
                <w:rFonts w:ascii="Century Gothic"/>
                <w:i/>
                <w:iCs/>
                <w:w w:val="120"/>
                <w:sz w:val="20"/>
                <w:lang w:val="fr-FR"/>
              </w:rPr>
              <w:t>rapie pr</w:t>
            </w:r>
            <w:r w:rsidRPr="005669CE">
              <w:rPr>
                <w:rFonts w:ascii="Century Gothic"/>
                <w:i/>
                <w:iCs/>
                <w:w w:val="120"/>
                <w:sz w:val="20"/>
                <w:lang w:val="fr-FR"/>
              </w:rPr>
              <w:t>é</w:t>
            </w:r>
            <w:r w:rsidRPr="005669CE">
              <w:rPr>
                <w:rFonts w:ascii="Century Gothic"/>
                <w:i/>
                <w:iCs/>
                <w:w w:val="120"/>
                <w:sz w:val="20"/>
                <w:lang w:val="fr-FR"/>
              </w:rPr>
              <w:t>ventive annuelle pour tous les groupes d</w:t>
            </w:r>
            <w:r w:rsidRPr="005669CE">
              <w:rPr>
                <w:rFonts w:ascii="Century Gothic"/>
                <w:i/>
                <w:iCs/>
                <w:w w:val="120"/>
                <w:sz w:val="20"/>
                <w:lang w:val="fr-FR"/>
              </w:rPr>
              <w:t>’â</w:t>
            </w:r>
            <w:r w:rsidRPr="005669CE">
              <w:rPr>
                <w:rFonts w:ascii="Century Gothic"/>
                <w:i/>
                <w:iCs/>
                <w:w w:val="120"/>
                <w:sz w:val="20"/>
                <w:lang w:val="fr-FR"/>
              </w:rPr>
              <w:t>ge &gt;2</w:t>
            </w:r>
            <w:r w:rsidRPr="005669CE">
              <w:rPr>
                <w:rFonts w:ascii="Century Gothic"/>
                <w:i/>
                <w:iCs/>
                <w:w w:val="120"/>
                <w:sz w:val="20"/>
                <w:lang w:val="fr-FR"/>
              </w:rPr>
              <w:t> </w:t>
            </w:r>
            <w:r w:rsidRPr="005669CE">
              <w:rPr>
                <w:rFonts w:ascii="Century Gothic"/>
                <w:i/>
                <w:iCs/>
                <w:w w:val="120"/>
                <w:sz w:val="20"/>
                <w:lang w:val="fr-FR"/>
              </w:rPr>
              <w:t>ans</w:t>
            </w:r>
          </w:p>
        </w:tc>
      </w:tr>
      <w:tr w:rsidR="000C10E3" w14:paraId="31C6765E" w14:textId="77777777" w:rsidTr="000365DB">
        <w:trPr>
          <w:trHeight w:val="340"/>
        </w:trPr>
        <w:tc>
          <w:tcPr>
            <w:tcW w:w="912" w:type="pct"/>
          </w:tcPr>
          <w:p w14:paraId="55D71F9E" w14:textId="77777777" w:rsidR="000E2E95" w:rsidRPr="005669CE" w:rsidRDefault="000E2E95" w:rsidP="00CE74C2">
            <w:pPr>
              <w:pStyle w:val="TableParagraph"/>
              <w:jc w:val="both"/>
              <w:rPr>
                <w:rFonts w:ascii="Times New Roman"/>
              </w:rPr>
            </w:pPr>
          </w:p>
        </w:tc>
        <w:tc>
          <w:tcPr>
            <w:tcW w:w="915" w:type="pct"/>
          </w:tcPr>
          <w:p w14:paraId="38E4C42B" w14:textId="77777777" w:rsidR="000E2E95" w:rsidRPr="005669CE" w:rsidRDefault="000E2E95" w:rsidP="00CE74C2">
            <w:pPr>
              <w:pStyle w:val="TableParagraph"/>
              <w:jc w:val="both"/>
              <w:rPr>
                <w:rFonts w:ascii="Times New Roman"/>
              </w:rPr>
            </w:pPr>
          </w:p>
        </w:tc>
        <w:tc>
          <w:tcPr>
            <w:tcW w:w="844" w:type="pct"/>
          </w:tcPr>
          <w:p w14:paraId="3B46824F" w14:textId="77777777" w:rsidR="000E2E95" w:rsidRPr="005669CE" w:rsidRDefault="000E2E95" w:rsidP="00CE74C2">
            <w:pPr>
              <w:pStyle w:val="TableParagraph"/>
              <w:jc w:val="both"/>
              <w:rPr>
                <w:rFonts w:ascii="Times New Roman"/>
              </w:rPr>
            </w:pPr>
          </w:p>
        </w:tc>
        <w:tc>
          <w:tcPr>
            <w:tcW w:w="2329" w:type="pct"/>
          </w:tcPr>
          <w:p w14:paraId="1B01DEA1" w14:textId="77777777" w:rsidR="000E2E95" w:rsidRPr="005669CE" w:rsidRDefault="000E2E95" w:rsidP="00CE74C2">
            <w:pPr>
              <w:pStyle w:val="TableParagraph"/>
              <w:jc w:val="both"/>
              <w:rPr>
                <w:rFonts w:ascii="Times New Roman"/>
              </w:rPr>
            </w:pPr>
          </w:p>
        </w:tc>
      </w:tr>
      <w:tr w:rsidR="000C10E3" w14:paraId="3D61B72A" w14:textId="77777777" w:rsidTr="000365DB">
        <w:trPr>
          <w:trHeight w:val="340"/>
        </w:trPr>
        <w:tc>
          <w:tcPr>
            <w:tcW w:w="912" w:type="pct"/>
          </w:tcPr>
          <w:p w14:paraId="25B7D09D" w14:textId="77777777" w:rsidR="000E2E95" w:rsidRPr="005669CE" w:rsidRDefault="000E2E95" w:rsidP="00CE74C2">
            <w:pPr>
              <w:pStyle w:val="TableParagraph"/>
              <w:jc w:val="both"/>
              <w:rPr>
                <w:rFonts w:ascii="Times New Roman"/>
              </w:rPr>
            </w:pPr>
          </w:p>
        </w:tc>
        <w:tc>
          <w:tcPr>
            <w:tcW w:w="915" w:type="pct"/>
          </w:tcPr>
          <w:p w14:paraId="17CAD00F" w14:textId="77777777" w:rsidR="000E2E95" w:rsidRPr="005669CE" w:rsidRDefault="000E2E95" w:rsidP="00CE74C2">
            <w:pPr>
              <w:pStyle w:val="TableParagraph"/>
              <w:jc w:val="both"/>
              <w:rPr>
                <w:rFonts w:ascii="Times New Roman"/>
              </w:rPr>
            </w:pPr>
          </w:p>
        </w:tc>
        <w:tc>
          <w:tcPr>
            <w:tcW w:w="844" w:type="pct"/>
          </w:tcPr>
          <w:p w14:paraId="5A9C8BB1" w14:textId="77777777" w:rsidR="000E2E95" w:rsidRPr="005669CE" w:rsidRDefault="000E2E95" w:rsidP="00CE74C2">
            <w:pPr>
              <w:pStyle w:val="TableParagraph"/>
              <w:jc w:val="both"/>
              <w:rPr>
                <w:rFonts w:ascii="Times New Roman"/>
              </w:rPr>
            </w:pPr>
          </w:p>
        </w:tc>
        <w:tc>
          <w:tcPr>
            <w:tcW w:w="2329" w:type="pct"/>
          </w:tcPr>
          <w:p w14:paraId="42A7E0A3" w14:textId="77777777" w:rsidR="000E2E95" w:rsidRPr="005669CE" w:rsidRDefault="000E2E95" w:rsidP="00CE74C2">
            <w:pPr>
              <w:pStyle w:val="TableParagraph"/>
              <w:jc w:val="both"/>
              <w:rPr>
                <w:rFonts w:ascii="Times New Roman"/>
              </w:rPr>
            </w:pPr>
          </w:p>
        </w:tc>
      </w:tr>
      <w:tr w:rsidR="000C10E3" w14:paraId="4ED81600" w14:textId="77777777" w:rsidTr="000365DB">
        <w:trPr>
          <w:trHeight w:val="340"/>
        </w:trPr>
        <w:tc>
          <w:tcPr>
            <w:tcW w:w="912" w:type="pct"/>
          </w:tcPr>
          <w:p w14:paraId="68BC99F3" w14:textId="77777777" w:rsidR="000E2E95" w:rsidRPr="005669CE" w:rsidRDefault="000E2E95" w:rsidP="00CE74C2">
            <w:pPr>
              <w:pStyle w:val="TableParagraph"/>
              <w:jc w:val="both"/>
              <w:rPr>
                <w:rFonts w:ascii="Times New Roman"/>
              </w:rPr>
            </w:pPr>
          </w:p>
        </w:tc>
        <w:tc>
          <w:tcPr>
            <w:tcW w:w="915" w:type="pct"/>
          </w:tcPr>
          <w:p w14:paraId="266AFB5C" w14:textId="77777777" w:rsidR="000E2E95" w:rsidRPr="005669CE" w:rsidRDefault="000E2E95" w:rsidP="00CE74C2">
            <w:pPr>
              <w:pStyle w:val="TableParagraph"/>
              <w:jc w:val="both"/>
              <w:rPr>
                <w:rFonts w:ascii="Times New Roman"/>
              </w:rPr>
            </w:pPr>
          </w:p>
        </w:tc>
        <w:tc>
          <w:tcPr>
            <w:tcW w:w="844" w:type="pct"/>
          </w:tcPr>
          <w:p w14:paraId="7139CA77" w14:textId="77777777" w:rsidR="000E2E95" w:rsidRPr="005669CE" w:rsidRDefault="000E2E95" w:rsidP="00CE74C2">
            <w:pPr>
              <w:pStyle w:val="TableParagraph"/>
              <w:jc w:val="both"/>
              <w:rPr>
                <w:rFonts w:ascii="Times New Roman"/>
              </w:rPr>
            </w:pPr>
          </w:p>
        </w:tc>
        <w:tc>
          <w:tcPr>
            <w:tcW w:w="2329" w:type="pct"/>
          </w:tcPr>
          <w:p w14:paraId="51193376" w14:textId="77777777" w:rsidR="000E2E95" w:rsidRPr="005669CE" w:rsidRDefault="000E2E95" w:rsidP="00CE74C2">
            <w:pPr>
              <w:pStyle w:val="TableParagraph"/>
              <w:jc w:val="both"/>
              <w:rPr>
                <w:rFonts w:ascii="Times New Roman"/>
              </w:rPr>
            </w:pPr>
          </w:p>
        </w:tc>
      </w:tr>
      <w:tr w:rsidR="000C10E3" w14:paraId="6A7F5FB6" w14:textId="77777777" w:rsidTr="000365DB">
        <w:trPr>
          <w:trHeight w:val="340"/>
        </w:trPr>
        <w:tc>
          <w:tcPr>
            <w:tcW w:w="912" w:type="pct"/>
          </w:tcPr>
          <w:p w14:paraId="52D0D990" w14:textId="77777777" w:rsidR="000E2E95" w:rsidRPr="005669CE" w:rsidRDefault="000E2E95" w:rsidP="00CE74C2">
            <w:pPr>
              <w:pStyle w:val="TableParagraph"/>
              <w:jc w:val="both"/>
              <w:rPr>
                <w:rFonts w:ascii="Times New Roman"/>
              </w:rPr>
            </w:pPr>
          </w:p>
        </w:tc>
        <w:tc>
          <w:tcPr>
            <w:tcW w:w="915" w:type="pct"/>
          </w:tcPr>
          <w:p w14:paraId="313741CE" w14:textId="77777777" w:rsidR="000E2E95" w:rsidRPr="005669CE" w:rsidRDefault="000E2E95" w:rsidP="00CE74C2">
            <w:pPr>
              <w:pStyle w:val="TableParagraph"/>
              <w:jc w:val="both"/>
              <w:rPr>
                <w:rFonts w:ascii="Times New Roman"/>
              </w:rPr>
            </w:pPr>
          </w:p>
        </w:tc>
        <w:tc>
          <w:tcPr>
            <w:tcW w:w="844" w:type="pct"/>
          </w:tcPr>
          <w:p w14:paraId="2FE4432B" w14:textId="77777777" w:rsidR="000E2E95" w:rsidRPr="005669CE" w:rsidRDefault="000E2E95" w:rsidP="00CE74C2">
            <w:pPr>
              <w:pStyle w:val="TableParagraph"/>
              <w:jc w:val="both"/>
              <w:rPr>
                <w:rFonts w:ascii="Times New Roman"/>
              </w:rPr>
            </w:pPr>
          </w:p>
        </w:tc>
        <w:tc>
          <w:tcPr>
            <w:tcW w:w="2329" w:type="pct"/>
          </w:tcPr>
          <w:p w14:paraId="62F19F76" w14:textId="77777777" w:rsidR="000E2E95" w:rsidRPr="005669CE" w:rsidRDefault="000E2E95" w:rsidP="00CE74C2">
            <w:pPr>
              <w:pStyle w:val="TableParagraph"/>
              <w:jc w:val="both"/>
              <w:rPr>
                <w:rFonts w:ascii="Times New Roman"/>
              </w:rPr>
            </w:pPr>
          </w:p>
        </w:tc>
      </w:tr>
    </w:tbl>
    <w:p w14:paraId="3387ADE6" w14:textId="77777777" w:rsidR="000E2E95" w:rsidRPr="005669CE" w:rsidRDefault="000E2E95" w:rsidP="00341A0D">
      <w:pPr>
        <w:pStyle w:val="BodyText"/>
      </w:pPr>
    </w:p>
    <w:p w14:paraId="77270FCB" w14:textId="77777777" w:rsidR="000E2E95" w:rsidRPr="005669CE" w:rsidRDefault="00DB0A1C" w:rsidP="005B45EB">
      <w:pPr>
        <w:pStyle w:val="Heading3"/>
        <w:spacing w:before="0"/>
        <w:ind w:left="0"/>
        <w:jc w:val="both"/>
      </w:pPr>
      <w:r w:rsidRPr="005669CE">
        <w:rPr>
          <w:color w:val="4471C4"/>
          <w:spacing w:val="-2"/>
          <w:lang w:val="fr-FR"/>
        </w:rPr>
        <w:t>Interprétation</w:t>
      </w:r>
    </w:p>
    <w:p w14:paraId="3095C446" w14:textId="77777777" w:rsidR="000E2E95" w:rsidRPr="005669CE" w:rsidRDefault="00DB0A1C" w:rsidP="00767E93">
      <w:pPr>
        <w:spacing w:before="39" w:line="259" w:lineRule="auto"/>
        <w:ind w:right="305"/>
        <w:jc w:val="both"/>
      </w:pPr>
      <w:r w:rsidRPr="37C44320">
        <w:rPr>
          <w:b/>
          <w:bCs/>
        </w:rPr>
        <w:t xml:space="preserve">Districts avec </w:t>
      </w:r>
      <w:proofErr w:type="spellStart"/>
      <w:r w:rsidRPr="37C44320">
        <w:rPr>
          <w:b/>
          <w:bCs/>
        </w:rPr>
        <w:t>huit</w:t>
      </w:r>
      <w:proofErr w:type="spellEnd"/>
      <w:r w:rsidRPr="37C44320">
        <w:rPr>
          <w:b/>
          <w:bCs/>
        </w:rPr>
        <w:t xml:space="preserve"> UEP </w:t>
      </w:r>
      <w:proofErr w:type="spellStart"/>
      <w:r w:rsidRPr="37C44320">
        <w:rPr>
          <w:b/>
          <w:bCs/>
        </w:rPr>
        <w:t>ou</w:t>
      </w:r>
      <w:proofErr w:type="spellEnd"/>
      <w:r w:rsidRPr="37C44320">
        <w:rPr>
          <w:b/>
          <w:bCs/>
        </w:rPr>
        <w:t xml:space="preserve"> plus </w:t>
      </w:r>
      <w:proofErr w:type="spellStart"/>
      <w:r w:rsidRPr="37C44320">
        <w:rPr>
          <w:b/>
          <w:bCs/>
        </w:rPr>
        <w:t>ayant</w:t>
      </w:r>
      <w:proofErr w:type="spellEnd"/>
      <w:r w:rsidRPr="37C44320">
        <w:rPr>
          <w:b/>
          <w:bCs/>
        </w:rPr>
        <w:t xml:space="preserve"> </w:t>
      </w:r>
      <w:proofErr w:type="spellStart"/>
      <w:r w:rsidRPr="37C44320">
        <w:rPr>
          <w:b/>
          <w:bCs/>
        </w:rPr>
        <w:t>une</w:t>
      </w:r>
      <w:proofErr w:type="spellEnd"/>
      <w:r w:rsidRPr="37C44320">
        <w:rPr>
          <w:b/>
          <w:bCs/>
        </w:rPr>
        <w:t xml:space="preserve"> </w:t>
      </w:r>
      <w:proofErr w:type="spellStart"/>
      <w:r w:rsidRPr="37C44320">
        <w:rPr>
          <w:b/>
          <w:bCs/>
        </w:rPr>
        <w:t>prévalence</w:t>
      </w:r>
      <w:proofErr w:type="spellEnd"/>
      <w:r w:rsidRPr="37C44320">
        <w:rPr>
          <w:b/>
          <w:bCs/>
        </w:rPr>
        <w:t xml:space="preserve"> de SCH </w:t>
      </w:r>
      <w:r w:rsidR="00227554" w:rsidRPr="37C44320">
        <w:rPr>
          <w:rFonts w:ascii="Avenir Next LT Pro" w:hAnsi="Avenir Next LT Pro"/>
          <w:b/>
          <w:bCs/>
        </w:rPr>
        <w:t>≥</w:t>
      </w:r>
      <w:r w:rsidRPr="37C44320">
        <w:rPr>
          <w:b/>
          <w:bCs/>
        </w:rPr>
        <w:t>10 % (</w:t>
      </w:r>
      <w:proofErr w:type="spellStart"/>
      <w:r w:rsidRPr="37C44320">
        <w:rPr>
          <w:b/>
          <w:bCs/>
        </w:rPr>
        <w:t>catégorie</w:t>
      </w:r>
      <w:proofErr w:type="spellEnd"/>
      <w:r w:rsidRPr="37C44320">
        <w:rPr>
          <w:b/>
          <w:bCs/>
        </w:rPr>
        <w:t xml:space="preserve"> </w:t>
      </w:r>
      <w:r w:rsidRPr="37C44320">
        <w:rPr>
          <w:b/>
          <w:bCs/>
          <w:color w:val="C00000"/>
        </w:rPr>
        <w:t>ROUGE</w:t>
      </w:r>
      <w:proofErr w:type="gramStart"/>
      <w:r w:rsidRPr="37C44320">
        <w:rPr>
          <w:b/>
          <w:bCs/>
        </w:rPr>
        <w:t>) :</w:t>
      </w:r>
      <w:proofErr w:type="gramEnd"/>
      <w:r w:rsidRPr="37C44320">
        <w:rPr>
          <w:b/>
          <w:bCs/>
        </w:rPr>
        <w:t xml:space="preserve"> </w:t>
      </w:r>
      <w:r w:rsidRPr="37C44320">
        <w:t xml:space="preserve">La </w:t>
      </w:r>
      <w:proofErr w:type="spellStart"/>
      <w:r w:rsidRPr="37C44320">
        <w:t>majorité</w:t>
      </w:r>
      <w:proofErr w:type="spellEnd"/>
      <w:r w:rsidRPr="37C44320">
        <w:t xml:space="preserve"> des sites </w:t>
      </w:r>
      <w:proofErr w:type="spellStart"/>
      <w:r w:rsidRPr="37C44320">
        <w:t>échantillonnés</w:t>
      </w:r>
      <w:proofErr w:type="spellEnd"/>
      <w:r w:rsidRPr="37C44320">
        <w:t xml:space="preserve"> </w:t>
      </w:r>
      <w:proofErr w:type="spellStart"/>
      <w:r w:rsidRPr="37C44320">
        <w:t>sont</w:t>
      </w:r>
      <w:proofErr w:type="spellEnd"/>
      <w:r w:rsidRPr="37C44320">
        <w:t xml:space="preserve"> au-dessus du </w:t>
      </w:r>
      <w:proofErr w:type="spellStart"/>
      <w:r w:rsidRPr="37C44320">
        <w:t>seuil</w:t>
      </w:r>
      <w:proofErr w:type="spellEnd"/>
      <w:r w:rsidRPr="37C44320">
        <w:t xml:space="preserve"> </w:t>
      </w:r>
      <w:proofErr w:type="spellStart"/>
      <w:r w:rsidRPr="37C44320">
        <w:t>cible</w:t>
      </w:r>
      <w:proofErr w:type="spellEnd"/>
      <w:r w:rsidRPr="37C44320">
        <w:t xml:space="preserve"> pour </w:t>
      </w:r>
      <w:proofErr w:type="spellStart"/>
      <w:r w:rsidRPr="37C44320">
        <w:t>l’AMM</w:t>
      </w:r>
      <w:proofErr w:type="spellEnd"/>
      <w:r w:rsidRPr="37C44320">
        <w:t xml:space="preserve">, </w:t>
      </w:r>
      <w:proofErr w:type="spellStart"/>
      <w:r w:rsidRPr="37C44320">
        <w:t>ce</w:t>
      </w:r>
      <w:proofErr w:type="spellEnd"/>
      <w:r w:rsidRPr="37C44320">
        <w:t xml:space="preserve"> qui </w:t>
      </w:r>
      <w:proofErr w:type="spellStart"/>
      <w:r w:rsidRPr="37C44320">
        <w:t>indique</w:t>
      </w:r>
      <w:proofErr w:type="spellEnd"/>
      <w:r w:rsidRPr="37C44320">
        <w:t xml:space="preserve"> que la SCH </w:t>
      </w:r>
      <w:proofErr w:type="spellStart"/>
      <w:r w:rsidRPr="37C44320">
        <w:t>est</w:t>
      </w:r>
      <w:proofErr w:type="spellEnd"/>
      <w:r w:rsidRPr="37C44320">
        <w:t xml:space="preserve"> </w:t>
      </w:r>
      <w:proofErr w:type="spellStart"/>
      <w:r w:rsidRPr="37C44320">
        <w:t>probablement</w:t>
      </w:r>
      <w:proofErr w:type="spellEnd"/>
      <w:r w:rsidRPr="37C44320">
        <w:t xml:space="preserve"> </w:t>
      </w:r>
      <w:proofErr w:type="spellStart"/>
      <w:r w:rsidRPr="37C44320">
        <w:t>répandue</w:t>
      </w:r>
      <w:proofErr w:type="spellEnd"/>
      <w:r w:rsidRPr="37C44320">
        <w:t>.</w:t>
      </w:r>
    </w:p>
    <w:p w14:paraId="7C979010" w14:textId="77777777" w:rsidR="000E2E95" w:rsidRPr="005669CE" w:rsidRDefault="00DB0A1C" w:rsidP="005B45EB">
      <w:pPr>
        <w:pStyle w:val="BodyText"/>
        <w:ind w:left="0"/>
      </w:pPr>
      <w:r w:rsidRPr="005669CE">
        <w:rPr>
          <w:lang w:val="fr-FR"/>
        </w:rPr>
        <w:t>Par conséquent, il est plus approprié de poursuivre une AMM annuelle pour tous les sous-districts du district. Les évaluations au niveau du sous-district ne sont pas nécessaires pour le moment. Le programme peut envisager de visualiser les résultats sur une carte pour voir si des schémas spatiaux émergent et peuvent aider à orienter l’action spécifique du programme. Par exemple, si certaines parties du district ont une prévalence de PSU très élevée (par exemple &gt;50 %), le programme peut vouloir déterminer si cela est probablement dû à des taux élevés de réinfection ou à une faible participation à l’AMM.</w:t>
      </w:r>
    </w:p>
    <w:p w14:paraId="5D7E9F76" w14:textId="77777777" w:rsidR="000E2E95" w:rsidRPr="005669CE" w:rsidRDefault="00DB0A1C" w:rsidP="005B45EB">
      <w:pPr>
        <w:pStyle w:val="BodyText"/>
        <w:ind w:left="0"/>
      </w:pPr>
      <w:r w:rsidRPr="37C44320">
        <w:rPr>
          <w:b/>
          <w:bCs/>
        </w:rPr>
        <w:t xml:space="preserve">Districts ne </w:t>
      </w:r>
      <w:proofErr w:type="spellStart"/>
      <w:r w:rsidRPr="37C44320">
        <w:rPr>
          <w:b/>
          <w:bCs/>
        </w:rPr>
        <w:t>comptant</w:t>
      </w:r>
      <w:proofErr w:type="spellEnd"/>
      <w:r w:rsidRPr="37C44320">
        <w:rPr>
          <w:b/>
          <w:bCs/>
        </w:rPr>
        <w:t xml:space="preserve"> pas plus </w:t>
      </w:r>
      <w:proofErr w:type="spellStart"/>
      <w:r w:rsidRPr="37C44320">
        <w:rPr>
          <w:b/>
          <w:bCs/>
        </w:rPr>
        <w:t>d’une</w:t>
      </w:r>
      <w:proofErr w:type="spellEnd"/>
      <w:r w:rsidRPr="37C44320">
        <w:rPr>
          <w:b/>
          <w:bCs/>
        </w:rPr>
        <w:t xml:space="preserve"> UEP avec </w:t>
      </w:r>
      <w:proofErr w:type="spellStart"/>
      <w:r w:rsidRPr="37C44320">
        <w:rPr>
          <w:b/>
          <w:bCs/>
        </w:rPr>
        <w:t>une</w:t>
      </w:r>
      <w:proofErr w:type="spellEnd"/>
      <w:r w:rsidRPr="37C44320">
        <w:rPr>
          <w:b/>
          <w:bCs/>
        </w:rPr>
        <w:t xml:space="preserve"> </w:t>
      </w:r>
      <w:proofErr w:type="spellStart"/>
      <w:r w:rsidRPr="37C44320">
        <w:rPr>
          <w:b/>
          <w:bCs/>
        </w:rPr>
        <w:t>prévalence</w:t>
      </w:r>
      <w:proofErr w:type="spellEnd"/>
      <w:r w:rsidRPr="37C44320">
        <w:rPr>
          <w:b/>
          <w:bCs/>
        </w:rPr>
        <w:t xml:space="preserve"> ≥10 % (</w:t>
      </w:r>
      <w:proofErr w:type="spellStart"/>
      <w:r w:rsidRPr="37C44320">
        <w:rPr>
          <w:b/>
          <w:bCs/>
          <w:color w:val="528135"/>
        </w:rPr>
        <w:t>Catégorie</w:t>
      </w:r>
      <w:proofErr w:type="spellEnd"/>
      <w:r w:rsidRPr="37C44320">
        <w:rPr>
          <w:b/>
          <w:bCs/>
          <w:color w:val="528135"/>
        </w:rPr>
        <w:t xml:space="preserve"> VERTE</w:t>
      </w:r>
      <w:proofErr w:type="gramStart"/>
      <w:r w:rsidRPr="37C44320">
        <w:rPr>
          <w:b/>
          <w:bCs/>
        </w:rPr>
        <w:t>) :</w:t>
      </w:r>
      <w:proofErr w:type="gramEnd"/>
      <w:r w:rsidRPr="37C44320">
        <w:rPr>
          <w:b/>
          <w:bCs/>
        </w:rPr>
        <w:t xml:space="preserve"> </w:t>
      </w:r>
      <w:proofErr w:type="spellStart"/>
      <w:r w:rsidRPr="37C44320">
        <w:t>Ces</w:t>
      </w:r>
      <w:proofErr w:type="spellEnd"/>
      <w:r w:rsidRPr="37C44320">
        <w:t xml:space="preserve"> districts </w:t>
      </w:r>
      <w:proofErr w:type="spellStart"/>
      <w:r w:rsidRPr="37C44320">
        <w:t>peuvent</w:t>
      </w:r>
      <w:proofErr w:type="spellEnd"/>
      <w:r w:rsidRPr="37C44320">
        <w:t xml:space="preserve"> </w:t>
      </w:r>
      <w:proofErr w:type="spellStart"/>
      <w:r w:rsidRPr="37C44320">
        <w:t>être</w:t>
      </w:r>
      <w:proofErr w:type="spellEnd"/>
      <w:r w:rsidRPr="37C44320">
        <w:t xml:space="preserve"> </w:t>
      </w:r>
      <w:proofErr w:type="spellStart"/>
      <w:r w:rsidRPr="37C44320">
        <w:t>considérés</w:t>
      </w:r>
      <w:proofErr w:type="spellEnd"/>
      <w:r w:rsidRPr="37C44320">
        <w:t xml:space="preserve"> </w:t>
      </w:r>
      <w:proofErr w:type="spellStart"/>
      <w:r w:rsidRPr="37C44320">
        <w:t>comme</w:t>
      </w:r>
      <w:proofErr w:type="spellEnd"/>
      <w:r w:rsidRPr="37C44320">
        <w:t xml:space="preserve"> </w:t>
      </w:r>
      <w:proofErr w:type="spellStart"/>
      <w:r w:rsidRPr="37C44320">
        <w:t>ayant</w:t>
      </w:r>
      <w:proofErr w:type="spellEnd"/>
      <w:r w:rsidRPr="37C44320">
        <w:t xml:space="preserve"> </w:t>
      </w:r>
      <w:proofErr w:type="spellStart"/>
      <w:r w:rsidRPr="37C44320">
        <w:t>une</w:t>
      </w:r>
      <w:proofErr w:type="spellEnd"/>
      <w:r w:rsidRPr="37C44320">
        <w:t xml:space="preserve"> </w:t>
      </w:r>
      <w:proofErr w:type="spellStart"/>
      <w:r w:rsidRPr="37C44320">
        <w:t>prévalence</w:t>
      </w:r>
      <w:proofErr w:type="spellEnd"/>
      <w:r w:rsidRPr="37C44320">
        <w:t xml:space="preserve"> de SCH </w:t>
      </w:r>
      <w:proofErr w:type="spellStart"/>
      <w:r w:rsidRPr="37C44320">
        <w:t>constamment</w:t>
      </w:r>
      <w:proofErr w:type="spellEnd"/>
      <w:r w:rsidRPr="37C44320">
        <w:t xml:space="preserve"> </w:t>
      </w:r>
      <w:proofErr w:type="spellStart"/>
      <w:r w:rsidRPr="37C44320">
        <w:t>faible</w:t>
      </w:r>
      <w:proofErr w:type="spellEnd"/>
      <w:r w:rsidRPr="37C44320">
        <w:t xml:space="preserve">, et il </w:t>
      </w:r>
      <w:proofErr w:type="spellStart"/>
      <w:r w:rsidRPr="37C44320">
        <w:t>serait</w:t>
      </w:r>
      <w:proofErr w:type="spellEnd"/>
      <w:r w:rsidRPr="37C44320">
        <w:t xml:space="preserve"> </w:t>
      </w:r>
      <w:proofErr w:type="spellStart"/>
      <w:r w:rsidRPr="37C44320">
        <w:t>donc</w:t>
      </w:r>
      <w:proofErr w:type="spellEnd"/>
      <w:r w:rsidRPr="37C44320">
        <w:t xml:space="preserve"> </w:t>
      </w:r>
      <w:proofErr w:type="spellStart"/>
      <w:r w:rsidRPr="37C44320">
        <w:t>approprié</w:t>
      </w:r>
      <w:proofErr w:type="spellEnd"/>
      <w:r w:rsidRPr="37C44320">
        <w:t xml:space="preserve"> </w:t>
      </w:r>
      <w:proofErr w:type="spellStart"/>
      <w:r w:rsidRPr="37C44320">
        <w:t>d’envisager</w:t>
      </w:r>
      <w:proofErr w:type="spellEnd"/>
      <w:r w:rsidRPr="37C44320">
        <w:t xml:space="preserve"> de </w:t>
      </w:r>
      <w:proofErr w:type="spellStart"/>
      <w:r w:rsidRPr="37C44320">
        <w:t>réduire</w:t>
      </w:r>
      <w:proofErr w:type="spellEnd"/>
      <w:r w:rsidRPr="37C44320">
        <w:t xml:space="preserve"> la </w:t>
      </w:r>
      <w:proofErr w:type="spellStart"/>
      <w:r w:rsidRPr="37C44320">
        <w:t>fréquence</w:t>
      </w:r>
      <w:proofErr w:type="spellEnd"/>
      <w:r w:rsidRPr="37C44320">
        <w:t xml:space="preserve"> du </w:t>
      </w:r>
      <w:proofErr w:type="spellStart"/>
      <w:r w:rsidRPr="37C44320">
        <w:t>traitement</w:t>
      </w:r>
      <w:proofErr w:type="spellEnd"/>
      <w:r w:rsidRPr="37C44320">
        <w:t xml:space="preserve"> (par </w:t>
      </w:r>
      <w:proofErr w:type="spellStart"/>
      <w:r w:rsidRPr="37C44320">
        <w:t>exemple</w:t>
      </w:r>
      <w:proofErr w:type="spellEnd"/>
      <w:r w:rsidRPr="37C44320">
        <w:t xml:space="preserve">, </w:t>
      </w:r>
      <w:proofErr w:type="spellStart"/>
      <w:r w:rsidRPr="37C44320">
        <w:t>en</w:t>
      </w:r>
      <w:proofErr w:type="spellEnd"/>
      <w:r w:rsidRPr="37C44320">
        <w:t xml:space="preserve"> passant </w:t>
      </w:r>
      <w:proofErr w:type="spellStart"/>
      <w:r w:rsidRPr="37C44320">
        <w:t>d’une</w:t>
      </w:r>
      <w:proofErr w:type="spellEnd"/>
      <w:r w:rsidRPr="37C44320">
        <w:t xml:space="preserve"> AMM </w:t>
      </w:r>
      <w:proofErr w:type="spellStart"/>
      <w:r w:rsidRPr="37C44320">
        <w:t>annuelle</w:t>
      </w:r>
      <w:proofErr w:type="spellEnd"/>
      <w:r w:rsidRPr="37C44320">
        <w:t xml:space="preserve"> à </w:t>
      </w:r>
      <w:proofErr w:type="spellStart"/>
      <w:r w:rsidRPr="37C44320">
        <w:t>une</w:t>
      </w:r>
      <w:proofErr w:type="spellEnd"/>
      <w:r w:rsidRPr="37C44320">
        <w:t xml:space="preserve"> AMM </w:t>
      </w:r>
      <w:proofErr w:type="spellStart"/>
      <w:r w:rsidRPr="37C44320">
        <w:t>bisannuelle</w:t>
      </w:r>
      <w:proofErr w:type="spellEnd"/>
      <w:r w:rsidRPr="37C44320">
        <w:t xml:space="preserve">, </w:t>
      </w:r>
      <w:proofErr w:type="spellStart"/>
      <w:r w:rsidRPr="37C44320">
        <w:t>ou</w:t>
      </w:r>
      <w:proofErr w:type="spellEnd"/>
      <w:r w:rsidRPr="37C44320">
        <w:t xml:space="preserve"> </w:t>
      </w:r>
      <w:proofErr w:type="spellStart"/>
      <w:r w:rsidRPr="37C44320">
        <w:t>triennale</w:t>
      </w:r>
      <w:proofErr w:type="spellEnd"/>
      <w:r w:rsidRPr="37C44320">
        <w:t xml:space="preserve">). </w:t>
      </w:r>
      <w:proofErr w:type="spellStart"/>
      <w:r w:rsidRPr="37C44320">
        <w:t>S’il</w:t>
      </w:r>
      <w:proofErr w:type="spellEnd"/>
      <w:r w:rsidRPr="37C44320">
        <w:t xml:space="preserve"> </w:t>
      </w:r>
      <w:proofErr w:type="spellStart"/>
      <w:r w:rsidRPr="37C44320">
        <w:t>s’avère</w:t>
      </w:r>
      <w:proofErr w:type="spellEnd"/>
      <w:r w:rsidRPr="37C44320">
        <w:t xml:space="preserve"> </w:t>
      </w:r>
      <w:proofErr w:type="spellStart"/>
      <w:r w:rsidRPr="37C44320">
        <w:t>qu’une</w:t>
      </w:r>
      <w:proofErr w:type="spellEnd"/>
      <w:r w:rsidRPr="37C44320">
        <w:t xml:space="preserve"> UEP a </w:t>
      </w:r>
      <w:proofErr w:type="spellStart"/>
      <w:r w:rsidRPr="37C44320">
        <w:t>une</w:t>
      </w:r>
      <w:proofErr w:type="spellEnd"/>
      <w:r w:rsidRPr="37C44320">
        <w:t xml:space="preserve"> </w:t>
      </w:r>
      <w:proofErr w:type="spellStart"/>
      <w:r w:rsidRPr="37C44320">
        <w:t>prévalence</w:t>
      </w:r>
      <w:proofErr w:type="spellEnd"/>
      <w:r w:rsidRPr="37C44320">
        <w:t xml:space="preserve"> de SCH ≥10 %, le programme SCH </w:t>
      </w:r>
      <w:proofErr w:type="spellStart"/>
      <w:r w:rsidRPr="37C44320">
        <w:t>peut</w:t>
      </w:r>
      <w:proofErr w:type="spellEnd"/>
      <w:r w:rsidRPr="37C44320">
        <w:t xml:space="preserve"> </w:t>
      </w:r>
      <w:proofErr w:type="spellStart"/>
      <w:r w:rsidRPr="37C44320">
        <w:t>vouloir</w:t>
      </w:r>
      <w:proofErr w:type="spellEnd"/>
      <w:r w:rsidRPr="37C44320">
        <w:t xml:space="preserve"> </w:t>
      </w:r>
      <w:proofErr w:type="spellStart"/>
      <w:r w:rsidRPr="37C44320">
        <w:t>administrer</w:t>
      </w:r>
      <w:proofErr w:type="spellEnd"/>
      <w:r w:rsidRPr="37C44320">
        <w:t xml:space="preserve"> un </w:t>
      </w:r>
      <w:proofErr w:type="spellStart"/>
      <w:r w:rsidRPr="37C44320">
        <w:t>traitement</w:t>
      </w:r>
      <w:proofErr w:type="spellEnd"/>
      <w:r w:rsidRPr="37C44320">
        <w:t xml:space="preserve"> </w:t>
      </w:r>
      <w:proofErr w:type="spellStart"/>
      <w:r w:rsidRPr="37C44320">
        <w:t>annuel</w:t>
      </w:r>
      <w:proofErr w:type="spellEnd"/>
      <w:r w:rsidRPr="37C44320">
        <w:t xml:space="preserve"> </w:t>
      </w:r>
      <w:proofErr w:type="spellStart"/>
      <w:r w:rsidRPr="37C44320">
        <w:t>ciblé</w:t>
      </w:r>
      <w:proofErr w:type="spellEnd"/>
      <w:r w:rsidRPr="37C44320">
        <w:t xml:space="preserve"> à </w:t>
      </w:r>
      <w:proofErr w:type="spellStart"/>
      <w:r w:rsidRPr="37C44320">
        <w:t>cette</w:t>
      </w:r>
      <w:proofErr w:type="spellEnd"/>
      <w:r w:rsidRPr="37C44320">
        <w:t xml:space="preserve"> UEP.</w:t>
      </w:r>
    </w:p>
    <w:p w14:paraId="5DB85033" w14:textId="77777777" w:rsidR="000E2E95" w:rsidRPr="005669CE" w:rsidRDefault="000E2E95" w:rsidP="00CE74C2">
      <w:pPr>
        <w:spacing w:line="259" w:lineRule="auto"/>
        <w:jc w:val="both"/>
        <w:sectPr w:rsidR="000E2E95" w:rsidRPr="005669CE" w:rsidSect="008622E9">
          <w:pgSz w:w="12240" w:h="15840"/>
          <w:pgMar w:top="1440" w:right="1077" w:bottom="1440" w:left="1077" w:header="720" w:footer="720" w:gutter="0"/>
          <w:cols w:space="720"/>
        </w:sectPr>
      </w:pPr>
    </w:p>
    <w:p w14:paraId="02E9A8AC" w14:textId="77777777" w:rsidR="000E2E95" w:rsidRPr="005669CE" w:rsidRDefault="00DB0A1C" w:rsidP="005B45EB">
      <w:pPr>
        <w:pStyle w:val="BodyText"/>
        <w:ind w:left="0"/>
      </w:pPr>
      <w:r w:rsidRPr="58B7F4CC">
        <w:rPr>
          <w:b/>
          <w:bCs/>
          <w:lang w:val="fr-FR"/>
        </w:rPr>
        <w:lastRenderedPageBreak/>
        <w:t>Districts comptant entre deux et sept communautés ayant une prévalence de SCH ≥10 % (</w:t>
      </w:r>
      <w:r w:rsidRPr="58B7F4CC">
        <w:rPr>
          <w:b/>
          <w:bCs/>
          <w:color w:val="BE8F00"/>
          <w:lang w:val="fr-FR"/>
        </w:rPr>
        <w:t>Catégorie JAUNE</w:t>
      </w:r>
      <w:r w:rsidRPr="58B7F4CC">
        <w:rPr>
          <w:b/>
          <w:bCs/>
          <w:lang w:val="fr-FR"/>
        </w:rPr>
        <w:t xml:space="preserve">) : </w:t>
      </w:r>
      <w:r w:rsidRPr="58B7F4CC">
        <w:rPr>
          <w:lang w:val="fr-FR"/>
        </w:rPr>
        <w:t xml:space="preserve">Le programme SCH national est encouragé à examiner d’un œil critique les résultats des districts appartenant à cette catégorie jaune, car la réponse la plus appropriée du programme peut dépendre de la situation locale. La prévalence de la SCH dans ces districts est mixte, c’est-à-dire qu’elle varie, avec certains sites au-dessus de 10 % et d’autres en dessous, et qu’elle n’est pas suffisante dans l’une ou l’autre des catégories pour prendre une décision de traitement unique pour l’ensemble du district ; l’application de la même décision de traitement dans tous les sous-districts peut entraîner le surtraitement de certaines zones, et le </w:t>
      </w:r>
      <w:proofErr w:type="spellStart"/>
      <w:r w:rsidRPr="58B7F4CC">
        <w:rPr>
          <w:lang w:val="fr-FR"/>
        </w:rPr>
        <w:t>sous-traitement</w:t>
      </w:r>
      <w:proofErr w:type="spellEnd"/>
      <w:r w:rsidRPr="58B7F4CC">
        <w:rPr>
          <w:lang w:val="fr-FR"/>
        </w:rPr>
        <w:t xml:space="preserve"> d’autres.</w:t>
      </w:r>
    </w:p>
    <w:p w14:paraId="58F8706D" w14:textId="77777777" w:rsidR="000E2E95" w:rsidRPr="005669CE" w:rsidRDefault="00DB0A1C" w:rsidP="008E6F1B">
      <w:pPr>
        <w:pStyle w:val="BodyText"/>
        <w:ind w:left="0"/>
      </w:pPr>
      <w:r w:rsidRPr="005669CE">
        <w:rPr>
          <w:lang w:val="fr-FR"/>
        </w:rPr>
        <w:t>Le programme SCH doit examiner les données de l’évaluation pratique et décider si :</w:t>
      </w:r>
    </w:p>
    <w:p w14:paraId="4DFDEA4E" w14:textId="77777777" w:rsidR="000E2E95" w:rsidRPr="005669CE" w:rsidRDefault="00DB0A1C" w:rsidP="008E6F1B">
      <w:pPr>
        <w:pStyle w:val="ListParagraph"/>
        <w:numPr>
          <w:ilvl w:val="0"/>
          <w:numId w:val="10"/>
        </w:numPr>
        <w:tabs>
          <w:tab w:val="left" w:pos="838"/>
          <w:tab w:val="left" w:pos="840"/>
        </w:tabs>
        <w:spacing w:before="181" w:after="160" w:line="259" w:lineRule="auto"/>
        <w:ind w:left="839" w:right="304" w:hanging="357"/>
        <w:jc w:val="both"/>
      </w:pPr>
      <w:proofErr w:type="gramStart"/>
      <w:r w:rsidRPr="005669CE">
        <w:rPr>
          <w:lang w:val="fr-FR"/>
        </w:rPr>
        <w:t>les</w:t>
      </w:r>
      <w:proofErr w:type="gramEnd"/>
      <w:r w:rsidRPr="005669CE">
        <w:rPr>
          <w:lang w:val="fr-FR"/>
        </w:rPr>
        <w:t xml:space="preserve"> informations disponibles sont suffisantes pour prendre une décision de traitement dans un ou plusieurs sous-districts (par exemple, dans les sous-districts qui ont été échantillonnés au moins une fois au cours de l’évaluation pratique, le programme peut décider d’utiliser la prévalence moyenne dans le sous-district pour prendre une décision de traitement) ; ou,</w:t>
      </w:r>
    </w:p>
    <w:p w14:paraId="2112819D" w14:textId="77777777" w:rsidR="000E2E95" w:rsidRPr="005669CE" w:rsidRDefault="00DB0A1C" w:rsidP="008E6F1B">
      <w:pPr>
        <w:pStyle w:val="ListParagraph"/>
        <w:numPr>
          <w:ilvl w:val="0"/>
          <w:numId w:val="10"/>
        </w:numPr>
        <w:tabs>
          <w:tab w:val="left" w:pos="838"/>
          <w:tab w:val="left" w:pos="840"/>
        </w:tabs>
        <w:spacing w:line="259" w:lineRule="auto"/>
        <w:ind w:right="304"/>
        <w:jc w:val="both"/>
      </w:pPr>
      <w:r w:rsidRPr="005669CE">
        <w:rPr>
          <w:lang w:val="fr-FR"/>
        </w:rPr>
        <w:t xml:space="preserve">les informations disponibles ne sont pas suffisantes pour prendre une décision de traitement dans un ou plusieurs sous-districts, auquel cas le programme doit procéder à une </w:t>
      </w:r>
      <w:r w:rsidRPr="005669CE">
        <w:rPr>
          <w:b/>
          <w:bCs/>
          <w:lang w:val="fr-FR"/>
        </w:rPr>
        <w:t xml:space="preserve">Évaluation de précision </w:t>
      </w:r>
      <w:r w:rsidRPr="005669CE">
        <w:rPr>
          <w:lang w:val="fr-FR"/>
        </w:rPr>
        <w:t xml:space="preserve"> dans chacun des sous-districts indéterminés (remarque : le programme peut procéder directement aux évaluations de précision si les ressources le permettent ; cependant, le programme peut déterminer qu’il est préférable de lancer la prochaine série d’AMM et de mener les évaluations de précision au cours de l’exercice fiscal suivant, au moins 6 mois après l’AMM).</w:t>
      </w:r>
    </w:p>
    <w:p w14:paraId="5E031E41" w14:textId="77777777" w:rsidR="000E2E95" w:rsidRPr="005669CE" w:rsidRDefault="00DB0A1C" w:rsidP="005B45EB">
      <w:pPr>
        <w:pStyle w:val="BodyText"/>
        <w:ind w:left="0"/>
      </w:pPr>
      <w:r w:rsidRPr="005669CE">
        <w:rPr>
          <w:lang w:val="fr-FR"/>
        </w:rPr>
        <w:t>Lorsqu’ils procèdent à ces déterminations, les programmes sont fortement encouragés à visualiser les résultats par UEP sur une carte, idéalement une carte qui inclut les limites du sous-district. Cela peut permettre d’identifier des schémas spatiaux dans la répartition de la SCH qui pourraient aider le programme SCH à décider s’il est possible de prendre des décisions de traitement au niveau du sous-district sans qu’il soit nécessaire de procéder à des évaluations supplémentaires.</w:t>
      </w:r>
    </w:p>
    <w:p w14:paraId="38AC82A0" w14:textId="77777777" w:rsidR="000E2E95" w:rsidRPr="005669CE" w:rsidRDefault="000E2E95" w:rsidP="00341A0D">
      <w:pPr>
        <w:pStyle w:val="BodyText"/>
      </w:pPr>
    </w:p>
    <w:p w14:paraId="4D1BF3E3" w14:textId="77777777" w:rsidR="000E2E95" w:rsidRPr="005669CE" w:rsidRDefault="00DB0A1C" w:rsidP="005B45EB">
      <w:pPr>
        <w:pStyle w:val="Heading2"/>
        <w:ind w:left="0"/>
      </w:pPr>
      <w:bookmarkStart w:id="37" w:name="_bookmark17"/>
      <w:bookmarkStart w:id="38" w:name="_Toc181011875"/>
      <w:bookmarkEnd w:id="37"/>
      <w:r w:rsidRPr="005669CE">
        <w:rPr>
          <w:lang w:val="fr-FR"/>
        </w:rPr>
        <w:t xml:space="preserve">Analyse et interprétation des </w:t>
      </w:r>
      <w:r w:rsidRPr="005669CE">
        <w:rPr>
          <w:u w:val="single"/>
          <w:lang w:val="fr-FR"/>
        </w:rPr>
        <w:t>évaluations de précision</w:t>
      </w:r>
      <w:bookmarkEnd w:id="38"/>
    </w:p>
    <w:p w14:paraId="44683B68" w14:textId="77777777" w:rsidR="000E2E95" w:rsidRDefault="00DB0A1C" w:rsidP="001070D0">
      <w:pPr>
        <w:spacing w:before="121" w:line="259" w:lineRule="auto"/>
        <w:ind w:right="305"/>
        <w:jc w:val="both"/>
      </w:pPr>
      <w:r w:rsidRPr="005669CE">
        <w:rPr>
          <w:b/>
          <w:bCs/>
          <w:lang w:val="fr-FR"/>
        </w:rPr>
        <w:t>Pour les évaluations de précision, l’unité clé de l’analyse est la prévalence moyenne de la SCH dans le sous-district</w:t>
      </w:r>
      <w:r w:rsidRPr="005669CE">
        <w:rPr>
          <w:lang w:val="fr-FR"/>
        </w:rPr>
        <w:t>. Une fois les données collectées et nettoyées pour un sous-district donné, le gestionnaire des données doit calculer la prévalence moyenne pour le sous-district en combinant les données des 4 UEP échantillonnées dans le sous-district de la manière suivante :</w:t>
      </w:r>
    </w:p>
    <w:p w14:paraId="6DBBECDB" w14:textId="77777777" w:rsidR="00EB5269" w:rsidRPr="005669CE" w:rsidRDefault="00EB5269" w:rsidP="005B45EB">
      <w:pPr>
        <w:spacing w:before="121" w:line="259" w:lineRule="auto"/>
        <w:ind w:right="1242"/>
        <w:jc w:val="both"/>
      </w:pPr>
    </w:p>
    <w:p w14:paraId="5D7A72DC" w14:textId="77777777" w:rsidR="000E2E95" w:rsidRPr="005669CE" w:rsidRDefault="00DB0A1C" w:rsidP="005B45EB">
      <w:pPr>
        <w:spacing w:before="160"/>
        <w:jc w:val="both"/>
        <w:rPr>
          <w:i/>
          <w:sz w:val="24"/>
        </w:rPr>
      </w:pPr>
      <w:r w:rsidRPr="005669CE">
        <w:rPr>
          <w:i/>
          <w:iCs/>
          <w:sz w:val="24"/>
          <w:lang w:val="fr-FR"/>
        </w:rPr>
        <w:t xml:space="preserve">Prévalence moyenne dans le sous-district = </w:t>
      </w:r>
      <w:r w:rsidRPr="005669CE">
        <w:rPr>
          <w:i/>
          <w:iCs/>
          <w:sz w:val="24"/>
          <w:u w:val="single"/>
          <w:lang w:val="fr-FR"/>
        </w:rPr>
        <w:t>Nombre total d’enfants testés positifs à la SCH dans les 4 UEP</w:t>
      </w:r>
    </w:p>
    <w:p w14:paraId="3D9551F1" w14:textId="77777777" w:rsidR="000E2E95" w:rsidRPr="005669CE" w:rsidRDefault="00DB0A1C" w:rsidP="00CE74C2">
      <w:pPr>
        <w:spacing w:before="21"/>
        <w:ind w:left="3327"/>
        <w:jc w:val="both"/>
        <w:rPr>
          <w:i/>
          <w:sz w:val="24"/>
        </w:rPr>
      </w:pPr>
      <w:r w:rsidRPr="005669CE">
        <w:rPr>
          <w:i/>
          <w:iCs/>
          <w:sz w:val="24"/>
          <w:lang w:val="fr-FR"/>
        </w:rPr>
        <w:t>Nombre total d’enfants avec des échantillons valides dans les 4 UEP</w:t>
      </w:r>
    </w:p>
    <w:p w14:paraId="2475533C" w14:textId="77777777" w:rsidR="0072180A" w:rsidRPr="005669CE" w:rsidRDefault="0072180A" w:rsidP="00341A0D">
      <w:pPr>
        <w:pStyle w:val="BodyText"/>
        <w:rPr>
          <w:highlight w:val="yellow"/>
        </w:rPr>
      </w:pPr>
    </w:p>
    <w:p w14:paraId="13B022E5" w14:textId="77777777" w:rsidR="00F32013" w:rsidRDefault="00DB0A1C" w:rsidP="00E80D99">
      <w:pPr>
        <w:pStyle w:val="BodyText"/>
        <w:ind w:left="0"/>
        <w:rPr>
          <w:lang w:val="fr-FR"/>
        </w:rPr>
      </w:pPr>
      <w:r w:rsidRPr="005669CE">
        <w:rPr>
          <w:lang w:val="fr-FR"/>
        </w:rPr>
        <w:t xml:space="preserve">Notez que si plusieurs espèces de SCH sont présentes dans le sous-district, les résultats peuvent être combinés, de sorte qu’un enfant porteur </w:t>
      </w:r>
      <w:r w:rsidRPr="005669CE">
        <w:rPr>
          <w:i/>
          <w:iCs/>
          <w:u w:val="single"/>
          <w:lang w:val="fr-FR"/>
        </w:rPr>
        <w:t xml:space="preserve">soit </w:t>
      </w:r>
      <w:r w:rsidRPr="005669CE">
        <w:rPr>
          <w:lang w:val="fr-FR"/>
        </w:rPr>
        <w:t xml:space="preserve">de </w:t>
      </w:r>
      <w:r w:rsidRPr="005669CE">
        <w:rPr>
          <w:i/>
          <w:iCs/>
          <w:lang w:val="fr-FR"/>
        </w:rPr>
        <w:t xml:space="preserve">S. </w:t>
      </w:r>
      <w:proofErr w:type="spellStart"/>
      <w:r w:rsidRPr="005669CE">
        <w:rPr>
          <w:i/>
          <w:iCs/>
          <w:lang w:val="fr-FR"/>
        </w:rPr>
        <w:t>haematobium</w:t>
      </w:r>
      <w:proofErr w:type="spellEnd"/>
      <w:r w:rsidRPr="005669CE">
        <w:rPr>
          <w:i/>
          <w:iCs/>
          <w:lang w:val="fr-FR"/>
        </w:rPr>
        <w:t xml:space="preserve"> </w:t>
      </w:r>
      <w:r w:rsidRPr="005669CE">
        <w:rPr>
          <w:lang w:val="fr-FR"/>
        </w:rPr>
        <w:t xml:space="preserve">soit de </w:t>
      </w:r>
      <w:r w:rsidRPr="005669CE">
        <w:rPr>
          <w:i/>
          <w:iCs/>
          <w:lang w:val="fr-FR"/>
        </w:rPr>
        <w:t xml:space="preserve">S. </w:t>
      </w:r>
      <w:proofErr w:type="spellStart"/>
      <w:r w:rsidRPr="005669CE">
        <w:rPr>
          <w:i/>
          <w:iCs/>
          <w:lang w:val="fr-FR"/>
        </w:rPr>
        <w:t>mansoni</w:t>
      </w:r>
      <w:proofErr w:type="spellEnd"/>
      <w:r w:rsidRPr="005669CE">
        <w:rPr>
          <w:i/>
          <w:iCs/>
          <w:lang w:val="fr-FR"/>
        </w:rPr>
        <w:t xml:space="preserve"> </w:t>
      </w:r>
      <w:r w:rsidRPr="005669CE">
        <w:rPr>
          <w:lang w:val="fr-FR"/>
        </w:rPr>
        <w:t xml:space="preserve">serait considéré comme « positif à la SCH » et devrait apparaître une fois dans le numérateur et une fois dans le dénominateur. Une fois la prévalence moyenne de la SCH calculée dans toutes les UEP du sous-district, les résultats doivent être saisis </w:t>
      </w:r>
      <w:r w:rsidRPr="005669CE">
        <w:rPr>
          <w:lang w:val="fr-FR"/>
        </w:rPr>
        <w:lastRenderedPageBreak/>
        <w:t xml:space="preserve">dans le </w:t>
      </w:r>
      <w:r w:rsidR="00EB5269" w:rsidRPr="007E58CF">
        <w:rPr>
          <w:b/>
          <w:bCs/>
          <w:i/>
          <w:iCs/>
          <w:color w:val="1154CC"/>
          <w:lang w:val="fr-FR"/>
        </w:rPr>
        <w:t>Formulaire de saisie des résultats de la SCH</w:t>
      </w:r>
      <w:r w:rsidRPr="005669CE">
        <w:rPr>
          <w:lang w:val="fr-FR"/>
        </w:rPr>
        <w:t xml:space="preserve"> (Tableau 3), dont un fichier Excel peut être téléchargé à partir de la page Web de l’</w:t>
      </w:r>
      <w:hyperlink r:id="rId19" w:history="1">
        <w:r w:rsidR="00EB5269" w:rsidRPr="00876E97">
          <w:rPr>
            <w:rStyle w:val="Hyperlink"/>
            <w:i/>
            <w:iCs/>
            <w:lang w:val="fr-FR"/>
          </w:rPr>
          <w:t>ESPEN sur l’Outil d’évaluation pratique et de précision de la schistosomiase (SPPA)</w:t>
        </w:r>
      </w:hyperlink>
      <w:r w:rsidRPr="005669CE">
        <w:rPr>
          <w:lang w:val="fr-FR"/>
        </w:rPr>
        <w:t>, et l’équipe doit se référer à l’arbre de décision (Figure 1, recopiée ci-dessous) pour identifier la réponse appropriée du programme.</w:t>
      </w:r>
    </w:p>
    <w:p w14:paraId="53C725D1" w14:textId="77777777" w:rsidR="00F32013" w:rsidRDefault="00F32013" w:rsidP="00E80D99">
      <w:pPr>
        <w:pStyle w:val="BodyText"/>
        <w:ind w:left="0"/>
        <w:rPr>
          <w:lang w:val="fr-FR"/>
        </w:rPr>
      </w:pPr>
    </w:p>
    <w:p w14:paraId="7198391F" w14:textId="77777777" w:rsidR="00F32013" w:rsidRDefault="00F32013" w:rsidP="00E80D99">
      <w:pPr>
        <w:pStyle w:val="BodyText"/>
        <w:ind w:left="0"/>
        <w:rPr>
          <w:lang w:val="fr-FR"/>
        </w:rPr>
      </w:pPr>
    </w:p>
    <w:p w14:paraId="12901C50" w14:textId="1A029EF1" w:rsidR="000E2E95" w:rsidRPr="005669CE" w:rsidRDefault="218EC195" w:rsidP="00E80D99">
      <w:pPr>
        <w:pStyle w:val="BodyText"/>
        <w:ind w:left="0"/>
      </w:pPr>
      <w:r>
        <w:rPr>
          <w:noProof/>
        </w:rPr>
        <w:drawing>
          <wp:inline distT="0" distB="0" distL="0" distR="0" wp14:anchorId="7C2C3280" wp14:editId="73F1251F">
            <wp:extent cx="6272530" cy="1329192"/>
            <wp:effectExtent l="0" t="0" r="0" b="1905"/>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0"/>
                    <pic:cNvPicPr/>
                  </pic:nvPicPr>
                  <pic:blipFill>
                    <a:blip r:embed="rId20">
                      <a:extLst>
                        <a:ext uri="{28A0092B-C50C-407E-A947-70E740481C1C}">
                          <a14:useLocalDpi xmlns:a14="http://schemas.microsoft.com/office/drawing/2010/main" val="0"/>
                        </a:ext>
                      </a:extLst>
                    </a:blip>
                    <a:stretch>
                      <a:fillRect/>
                    </a:stretch>
                  </pic:blipFill>
                  <pic:spPr>
                    <a:xfrm>
                      <a:off x="0" y="0"/>
                      <a:ext cx="6272530" cy="1329192"/>
                    </a:xfrm>
                    <a:prstGeom prst="rect">
                      <a:avLst/>
                    </a:prstGeom>
                  </pic:spPr>
                </pic:pic>
              </a:graphicData>
            </a:graphic>
          </wp:inline>
        </w:drawing>
      </w:r>
    </w:p>
    <w:p w14:paraId="3E0E931F" w14:textId="3FE2C484" w:rsidR="000E2E95" w:rsidRPr="005669CE" w:rsidRDefault="00DB0A1C" w:rsidP="00E80D99">
      <w:pPr>
        <w:pStyle w:val="BodyText"/>
        <w:ind w:left="0"/>
      </w:pPr>
      <w:r w:rsidRPr="005669CE">
        <w:rPr>
          <w:lang w:val="fr-FR"/>
        </w:rPr>
        <w:t xml:space="preserve">Si la prévalence moyenne dans le sous-district est ≥10 % </w:t>
      </w:r>
      <w:r w:rsidRPr="005669CE">
        <w:rPr>
          <w:b/>
          <w:bCs/>
          <w:lang w:val="fr-FR"/>
        </w:rPr>
        <w:t>(</w:t>
      </w:r>
      <w:r w:rsidRPr="005669CE">
        <w:rPr>
          <w:b/>
          <w:bCs/>
          <w:color w:val="C00000"/>
          <w:lang w:val="fr-FR"/>
        </w:rPr>
        <w:t>Catégorie ROUGE</w:t>
      </w:r>
      <w:r w:rsidRPr="005669CE">
        <w:rPr>
          <w:b/>
          <w:bCs/>
          <w:lang w:val="fr-FR"/>
        </w:rPr>
        <w:t xml:space="preserve">) </w:t>
      </w:r>
      <w:r w:rsidRPr="005669CE">
        <w:rPr>
          <w:lang w:val="fr-FR"/>
        </w:rPr>
        <w:t xml:space="preserve">alors l’action recommandée pour le programme est de maintenir l’AMM annuelle. Si la prévalence moyenne du sous-district est inférieure à 10 % </w:t>
      </w:r>
      <w:r w:rsidRPr="005669CE">
        <w:rPr>
          <w:b/>
          <w:bCs/>
          <w:lang w:val="fr-FR"/>
        </w:rPr>
        <w:t>(</w:t>
      </w:r>
      <w:r w:rsidRPr="005669CE">
        <w:rPr>
          <w:b/>
          <w:bCs/>
          <w:color w:val="528135"/>
          <w:lang w:val="fr-FR"/>
        </w:rPr>
        <w:t>Catégorie VERTE</w:t>
      </w:r>
      <w:r w:rsidRPr="005669CE">
        <w:rPr>
          <w:b/>
          <w:bCs/>
          <w:lang w:val="fr-FR"/>
        </w:rPr>
        <w:t>)</w:t>
      </w:r>
      <w:r w:rsidRPr="005669CE">
        <w:rPr>
          <w:lang w:val="fr-FR"/>
        </w:rPr>
        <w:t>, il conviendrait d’envisager une réduction de la fréquence des traitements (par exemple, en passant d’une AMM annuelle à une AMM bisannuelle ou triennale).</w:t>
      </w:r>
    </w:p>
    <w:p w14:paraId="502ED8D6" w14:textId="592A1E8C" w:rsidR="000E2E95" w:rsidRPr="005669CE" w:rsidRDefault="000E2E95" w:rsidP="00341A0D">
      <w:pPr>
        <w:pStyle w:val="BodyText"/>
        <w:rPr>
          <w:sz w:val="20"/>
        </w:rPr>
      </w:pPr>
    </w:p>
    <w:p w14:paraId="30417C02" w14:textId="77777777" w:rsidR="000E2E95" w:rsidRPr="005669CE" w:rsidRDefault="000E2E95" w:rsidP="00341A0D">
      <w:pPr>
        <w:pStyle w:val="BodyText"/>
      </w:pPr>
    </w:p>
    <w:p w14:paraId="5B3F32A4" w14:textId="77777777" w:rsidR="000E2E95" w:rsidRPr="003D5873" w:rsidRDefault="00DB0A1C" w:rsidP="003D5873">
      <w:pPr>
        <w:spacing w:before="1" w:after="160"/>
        <w:jc w:val="both"/>
        <w:rPr>
          <w:b/>
        </w:rPr>
      </w:pPr>
      <w:r w:rsidRPr="005669CE">
        <w:rPr>
          <w:b/>
          <w:bCs/>
          <w:color w:val="44536A"/>
          <w:lang w:val="fr-FR"/>
        </w:rPr>
        <w:t>Tableau 3 Formulaire de saisie des résultats de l’évaluation de précision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81"/>
        <w:gridCol w:w="1842"/>
        <w:gridCol w:w="1842"/>
        <w:gridCol w:w="4411"/>
      </w:tblGrid>
      <w:tr w:rsidR="000C10E3" w14:paraId="2349BF3A" w14:textId="77777777" w:rsidTr="002F2BDA">
        <w:trPr>
          <w:trHeight w:val="537"/>
        </w:trPr>
        <w:tc>
          <w:tcPr>
            <w:tcW w:w="983" w:type="pct"/>
          </w:tcPr>
          <w:p w14:paraId="22869638" w14:textId="77777777" w:rsidR="000E2E95" w:rsidRPr="005669CE" w:rsidRDefault="00DB0A1C" w:rsidP="00CE74C2">
            <w:pPr>
              <w:pStyle w:val="TableParagraph"/>
              <w:spacing w:before="1"/>
              <w:ind w:left="107"/>
              <w:jc w:val="both"/>
              <w:rPr>
                <w:b/>
              </w:rPr>
            </w:pPr>
            <w:r w:rsidRPr="005669CE">
              <w:rPr>
                <w:b/>
                <w:bCs/>
                <w:lang w:val="fr-FR"/>
              </w:rPr>
              <w:t>Nom du sous-district</w:t>
            </w:r>
          </w:p>
        </w:tc>
        <w:tc>
          <w:tcPr>
            <w:tcW w:w="914" w:type="pct"/>
          </w:tcPr>
          <w:p w14:paraId="203DB79D" w14:textId="77777777" w:rsidR="000E2E95" w:rsidRPr="005669CE" w:rsidRDefault="00DB0A1C" w:rsidP="00CE74C2">
            <w:pPr>
              <w:pStyle w:val="TableParagraph"/>
              <w:spacing w:before="1" w:line="268" w:lineRule="exact"/>
              <w:ind w:left="107"/>
              <w:jc w:val="both"/>
              <w:rPr>
                <w:b/>
              </w:rPr>
            </w:pPr>
            <w:r w:rsidRPr="005669CE">
              <w:rPr>
                <w:b/>
                <w:bCs/>
                <w:lang w:val="fr-FR"/>
              </w:rPr>
              <w:t>Prévalence moyenne</w:t>
            </w:r>
          </w:p>
          <w:p w14:paraId="7AB9D0A2" w14:textId="77777777" w:rsidR="000E2E95" w:rsidRPr="005669CE" w:rsidRDefault="00DB0A1C" w:rsidP="00CE74C2">
            <w:pPr>
              <w:pStyle w:val="TableParagraph"/>
              <w:spacing w:line="248" w:lineRule="exact"/>
              <w:ind w:left="107"/>
              <w:jc w:val="both"/>
              <w:rPr>
                <w:b/>
              </w:rPr>
            </w:pPr>
            <w:r w:rsidRPr="005669CE">
              <w:rPr>
                <w:b/>
                <w:bCs/>
                <w:lang w:val="fr-FR"/>
              </w:rPr>
              <w:t>≥10 % SCH</w:t>
            </w:r>
          </w:p>
        </w:tc>
        <w:tc>
          <w:tcPr>
            <w:tcW w:w="914" w:type="pct"/>
          </w:tcPr>
          <w:p w14:paraId="4585C572" w14:textId="77777777" w:rsidR="000E2E95" w:rsidRPr="005669CE" w:rsidRDefault="00DB0A1C" w:rsidP="00CE74C2">
            <w:pPr>
              <w:pStyle w:val="TableParagraph"/>
              <w:spacing w:before="1" w:line="268" w:lineRule="exact"/>
              <w:ind w:left="108"/>
              <w:jc w:val="both"/>
              <w:rPr>
                <w:b/>
              </w:rPr>
            </w:pPr>
            <w:r w:rsidRPr="005669CE">
              <w:rPr>
                <w:b/>
                <w:bCs/>
                <w:lang w:val="fr-FR"/>
              </w:rPr>
              <w:t>Prévalence moyenne</w:t>
            </w:r>
          </w:p>
          <w:p w14:paraId="37F48426" w14:textId="77777777" w:rsidR="000E2E95" w:rsidRPr="005669CE" w:rsidRDefault="00DB0A1C" w:rsidP="00CE74C2">
            <w:pPr>
              <w:pStyle w:val="TableParagraph"/>
              <w:spacing w:line="248" w:lineRule="exact"/>
              <w:ind w:left="108"/>
              <w:jc w:val="both"/>
              <w:rPr>
                <w:b/>
              </w:rPr>
            </w:pPr>
            <w:r w:rsidRPr="005669CE">
              <w:rPr>
                <w:b/>
                <w:bCs/>
                <w:lang w:val="fr-FR"/>
              </w:rPr>
              <w:t>&lt;10 % SCH</w:t>
            </w:r>
          </w:p>
        </w:tc>
        <w:tc>
          <w:tcPr>
            <w:tcW w:w="2189" w:type="pct"/>
          </w:tcPr>
          <w:p w14:paraId="3A7E8890" w14:textId="77777777" w:rsidR="000E2E95" w:rsidRPr="005669CE" w:rsidRDefault="00DB0A1C" w:rsidP="00CE74C2">
            <w:pPr>
              <w:pStyle w:val="TableParagraph"/>
              <w:spacing w:before="1"/>
              <w:ind w:left="108"/>
              <w:jc w:val="both"/>
              <w:rPr>
                <w:b/>
              </w:rPr>
            </w:pPr>
            <w:r w:rsidRPr="005669CE">
              <w:rPr>
                <w:b/>
                <w:bCs/>
                <w:lang w:val="fr-FR"/>
              </w:rPr>
              <w:t>Décision du programme :</w:t>
            </w:r>
          </w:p>
        </w:tc>
      </w:tr>
      <w:tr w:rsidR="000C10E3" w14:paraId="79AFACD0" w14:textId="77777777" w:rsidTr="002F2BDA">
        <w:trPr>
          <w:trHeight w:val="340"/>
        </w:trPr>
        <w:tc>
          <w:tcPr>
            <w:tcW w:w="983" w:type="pct"/>
          </w:tcPr>
          <w:p w14:paraId="5F39CF69" w14:textId="77777777" w:rsidR="000E2E95" w:rsidRPr="005669CE" w:rsidRDefault="000E2E95" w:rsidP="00CE74C2">
            <w:pPr>
              <w:pStyle w:val="TableParagraph"/>
              <w:spacing w:before="12"/>
              <w:jc w:val="both"/>
              <w:rPr>
                <w:b/>
                <w:sz w:val="20"/>
              </w:rPr>
            </w:pPr>
          </w:p>
          <w:p w14:paraId="47D6E9F4" w14:textId="77777777" w:rsidR="000E2E95" w:rsidRPr="005669CE" w:rsidRDefault="00DB0A1C" w:rsidP="00CE74C2">
            <w:pPr>
              <w:pStyle w:val="TableParagraph"/>
              <w:spacing w:before="1"/>
              <w:ind w:left="107"/>
              <w:jc w:val="both"/>
              <w:rPr>
                <w:rFonts w:ascii="Century Gothic"/>
                <w:i/>
                <w:sz w:val="20"/>
              </w:rPr>
            </w:pPr>
            <w:r w:rsidRPr="005669CE">
              <w:rPr>
                <w:rFonts w:ascii="Century Gothic"/>
                <w:i/>
                <w:iCs/>
                <w:w w:val="115"/>
                <w:sz w:val="20"/>
                <w:lang w:val="fr-FR"/>
              </w:rPr>
              <w:t>p.</w:t>
            </w:r>
            <w:r w:rsidRPr="005669CE">
              <w:rPr>
                <w:rFonts w:ascii="Century Gothic"/>
                <w:i/>
                <w:iCs/>
                <w:w w:val="115"/>
                <w:sz w:val="20"/>
                <w:lang w:val="fr-FR"/>
              </w:rPr>
              <w:t> </w:t>
            </w:r>
            <w:r w:rsidRPr="005669CE">
              <w:rPr>
                <w:rFonts w:ascii="Century Gothic"/>
                <w:i/>
                <w:iCs/>
                <w:w w:val="115"/>
                <w:sz w:val="20"/>
                <w:lang w:val="fr-FR"/>
              </w:rPr>
              <w:t xml:space="preserve">ex. </w:t>
            </w:r>
            <w:proofErr w:type="spellStart"/>
            <w:r w:rsidRPr="005669CE">
              <w:rPr>
                <w:rFonts w:ascii="Century Gothic"/>
                <w:i/>
                <w:iCs/>
                <w:w w:val="115"/>
                <w:sz w:val="20"/>
                <w:lang w:val="fr-FR"/>
              </w:rPr>
              <w:t>Murkina</w:t>
            </w:r>
            <w:proofErr w:type="spellEnd"/>
            <w:r w:rsidRPr="005669CE">
              <w:rPr>
                <w:rFonts w:ascii="Century Gothic"/>
                <w:i/>
                <w:iCs/>
                <w:w w:val="115"/>
                <w:sz w:val="20"/>
                <w:lang w:val="fr-FR"/>
              </w:rPr>
              <w:t xml:space="preserve"> B</w:t>
            </w:r>
          </w:p>
        </w:tc>
        <w:tc>
          <w:tcPr>
            <w:tcW w:w="914" w:type="pct"/>
          </w:tcPr>
          <w:p w14:paraId="1ADA0451" w14:textId="77777777" w:rsidR="000E2E95" w:rsidRPr="005669CE" w:rsidRDefault="000E2E95" w:rsidP="00CE74C2">
            <w:pPr>
              <w:pStyle w:val="TableParagraph"/>
              <w:spacing w:before="12"/>
              <w:jc w:val="both"/>
              <w:rPr>
                <w:b/>
                <w:sz w:val="20"/>
              </w:rPr>
            </w:pPr>
          </w:p>
          <w:p w14:paraId="38E466A0" w14:textId="77777777" w:rsidR="000E2E95" w:rsidRPr="005669CE" w:rsidRDefault="00DB0A1C" w:rsidP="00CE74C2">
            <w:pPr>
              <w:pStyle w:val="TableParagraph"/>
              <w:spacing w:before="1"/>
              <w:ind w:left="107"/>
              <w:jc w:val="both"/>
              <w:rPr>
                <w:rFonts w:ascii="Century Gothic"/>
                <w:i/>
                <w:sz w:val="20"/>
              </w:rPr>
            </w:pPr>
            <w:r w:rsidRPr="005669CE">
              <w:rPr>
                <w:rFonts w:ascii="Century Gothic"/>
                <w:i/>
                <w:iCs/>
                <w:spacing w:val="-5"/>
                <w:w w:val="110"/>
                <w:sz w:val="20"/>
                <w:lang w:val="fr-FR"/>
              </w:rPr>
              <w:t>Oui</w:t>
            </w:r>
          </w:p>
        </w:tc>
        <w:tc>
          <w:tcPr>
            <w:tcW w:w="914" w:type="pct"/>
          </w:tcPr>
          <w:p w14:paraId="2D41E1BE" w14:textId="77777777" w:rsidR="000E2E95" w:rsidRPr="005669CE" w:rsidRDefault="000E2E95" w:rsidP="00CE74C2">
            <w:pPr>
              <w:pStyle w:val="TableParagraph"/>
              <w:spacing w:before="12"/>
              <w:jc w:val="both"/>
              <w:rPr>
                <w:b/>
                <w:sz w:val="20"/>
              </w:rPr>
            </w:pPr>
          </w:p>
          <w:p w14:paraId="537DF2CA" w14:textId="77777777" w:rsidR="000E2E95" w:rsidRPr="005669CE" w:rsidRDefault="00DB0A1C" w:rsidP="00CE74C2">
            <w:pPr>
              <w:pStyle w:val="TableParagraph"/>
              <w:spacing w:before="1"/>
              <w:ind w:left="108"/>
              <w:jc w:val="both"/>
              <w:rPr>
                <w:rFonts w:ascii="Century Gothic"/>
                <w:i/>
                <w:sz w:val="20"/>
              </w:rPr>
            </w:pPr>
            <w:r w:rsidRPr="005669CE">
              <w:rPr>
                <w:rFonts w:ascii="Century Gothic"/>
                <w:i/>
                <w:iCs/>
                <w:spacing w:val="-10"/>
                <w:w w:val="170"/>
                <w:sz w:val="20"/>
                <w:lang w:val="fr-FR"/>
              </w:rPr>
              <w:t>-</w:t>
            </w:r>
          </w:p>
        </w:tc>
        <w:tc>
          <w:tcPr>
            <w:tcW w:w="2189" w:type="pct"/>
          </w:tcPr>
          <w:p w14:paraId="21D81523" w14:textId="77777777" w:rsidR="000E2E95" w:rsidRPr="005669CE" w:rsidRDefault="00DB0A1C" w:rsidP="0072180A">
            <w:pPr>
              <w:pStyle w:val="TableParagraph"/>
              <w:spacing w:line="252" w:lineRule="auto"/>
              <w:ind w:left="108"/>
              <w:rPr>
                <w:rFonts w:ascii="Century Gothic"/>
                <w:i/>
                <w:sz w:val="20"/>
              </w:rPr>
            </w:pPr>
            <w:r w:rsidRPr="005669CE">
              <w:rPr>
                <w:rFonts w:ascii="Century Gothic"/>
                <w:i/>
                <w:iCs/>
                <w:w w:val="120"/>
                <w:sz w:val="20"/>
                <w:lang w:val="fr-FR"/>
              </w:rPr>
              <w:t xml:space="preserve"> Chimioth</w:t>
            </w:r>
            <w:r w:rsidRPr="00DB0A1C">
              <w:rPr>
                <w:rFonts w:ascii="Century Gothic" w:hAnsi="Century Gothic"/>
                <w:i/>
                <w:iCs/>
                <w:w w:val="120"/>
                <w:sz w:val="20"/>
                <w:lang w:val="fr-FR"/>
              </w:rPr>
              <w:t>é</w:t>
            </w:r>
            <w:r w:rsidRPr="005669CE">
              <w:rPr>
                <w:rFonts w:ascii="Century Gothic"/>
                <w:i/>
                <w:iCs/>
                <w:w w:val="120"/>
                <w:sz w:val="20"/>
                <w:lang w:val="fr-FR"/>
              </w:rPr>
              <w:t>rapie pr</w:t>
            </w:r>
            <w:r w:rsidRPr="005669CE">
              <w:rPr>
                <w:rFonts w:ascii="Century Gothic"/>
                <w:i/>
                <w:iCs/>
                <w:w w:val="120"/>
                <w:sz w:val="20"/>
                <w:lang w:val="fr-FR"/>
              </w:rPr>
              <w:t>é</w:t>
            </w:r>
            <w:r w:rsidRPr="005669CE">
              <w:rPr>
                <w:rFonts w:ascii="Century Gothic"/>
                <w:i/>
                <w:iCs/>
                <w:w w:val="120"/>
                <w:sz w:val="20"/>
                <w:lang w:val="fr-FR"/>
              </w:rPr>
              <w:t>ventive annuelle pour tous les groupes d</w:t>
            </w:r>
            <w:r w:rsidRPr="005669CE">
              <w:rPr>
                <w:rFonts w:ascii="Century Gothic"/>
                <w:i/>
                <w:iCs/>
                <w:w w:val="120"/>
                <w:sz w:val="20"/>
                <w:lang w:val="fr-FR"/>
              </w:rPr>
              <w:t>’</w:t>
            </w:r>
            <w:r w:rsidRPr="00DB0A1C">
              <w:rPr>
                <w:rFonts w:ascii="Century Gothic" w:hAnsi="Century Gothic"/>
                <w:i/>
                <w:iCs/>
                <w:w w:val="120"/>
                <w:sz w:val="20"/>
                <w:lang w:val="fr-FR"/>
              </w:rPr>
              <w:t>â</w:t>
            </w:r>
            <w:r w:rsidRPr="005669CE">
              <w:rPr>
                <w:rFonts w:ascii="Century Gothic"/>
                <w:i/>
                <w:iCs/>
                <w:w w:val="120"/>
                <w:sz w:val="20"/>
                <w:lang w:val="fr-FR"/>
              </w:rPr>
              <w:t>ge &gt;2</w:t>
            </w:r>
            <w:r w:rsidRPr="005669CE">
              <w:rPr>
                <w:rFonts w:ascii="Century Gothic"/>
                <w:i/>
                <w:iCs/>
                <w:w w:val="120"/>
                <w:sz w:val="20"/>
                <w:lang w:val="fr-FR"/>
              </w:rPr>
              <w:t> </w:t>
            </w:r>
            <w:r w:rsidRPr="005669CE">
              <w:rPr>
                <w:rFonts w:ascii="Century Gothic"/>
                <w:i/>
                <w:iCs/>
                <w:w w:val="120"/>
                <w:sz w:val="20"/>
                <w:lang w:val="fr-FR"/>
              </w:rPr>
              <w:t>ans</w:t>
            </w:r>
          </w:p>
        </w:tc>
      </w:tr>
      <w:tr w:rsidR="000C10E3" w14:paraId="29EA975F" w14:textId="77777777" w:rsidTr="002F2BDA">
        <w:trPr>
          <w:trHeight w:val="340"/>
        </w:trPr>
        <w:tc>
          <w:tcPr>
            <w:tcW w:w="983" w:type="pct"/>
          </w:tcPr>
          <w:p w14:paraId="6385A43E" w14:textId="77777777" w:rsidR="000E2E95" w:rsidRPr="005669CE" w:rsidRDefault="000E2E95" w:rsidP="00CE74C2">
            <w:pPr>
              <w:pStyle w:val="TableParagraph"/>
              <w:jc w:val="both"/>
              <w:rPr>
                <w:rFonts w:ascii="Times New Roman"/>
                <w:sz w:val="20"/>
              </w:rPr>
            </w:pPr>
          </w:p>
        </w:tc>
        <w:tc>
          <w:tcPr>
            <w:tcW w:w="914" w:type="pct"/>
          </w:tcPr>
          <w:p w14:paraId="18FAC1F5" w14:textId="77777777" w:rsidR="000E2E95" w:rsidRPr="005669CE" w:rsidRDefault="000E2E95" w:rsidP="00CE74C2">
            <w:pPr>
              <w:pStyle w:val="TableParagraph"/>
              <w:jc w:val="both"/>
              <w:rPr>
                <w:rFonts w:ascii="Times New Roman"/>
                <w:sz w:val="20"/>
              </w:rPr>
            </w:pPr>
          </w:p>
        </w:tc>
        <w:tc>
          <w:tcPr>
            <w:tcW w:w="914" w:type="pct"/>
          </w:tcPr>
          <w:p w14:paraId="66EF88E7" w14:textId="77777777" w:rsidR="000E2E95" w:rsidRPr="005669CE" w:rsidRDefault="000E2E95" w:rsidP="00CE74C2">
            <w:pPr>
              <w:pStyle w:val="TableParagraph"/>
              <w:jc w:val="both"/>
              <w:rPr>
                <w:rFonts w:ascii="Times New Roman"/>
                <w:sz w:val="20"/>
              </w:rPr>
            </w:pPr>
          </w:p>
        </w:tc>
        <w:tc>
          <w:tcPr>
            <w:tcW w:w="2189" w:type="pct"/>
          </w:tcPr>
          <w:p w14:paraId="0E63E8E7" w14:textId="77777777" w:rsidR="000E2E95" w:rsidRPr="005669CE" w:rsidRDefault="000E2E95" w:rsidP="00CE74C2">
            <w:pPr>
              <w:pStyle w:val="TableParagraph"/>
              <w:jc w:val="both"/>
              <w:rPr>
                <w:rFonts w:ascii="Times New Roman"/>
                <w:sz w:val="20"/>
              </w:rPr>
            </w:pPr>
          </w:p>
        </w:tc>
      </w:tr>
      <w:tr w:rsidR="000C10E3" w14:paraId="390F1509" w14:textId="77777777" w:rsidTr="002F2BDA">
        <w:trPr>
          <w:trHeight w:val="340"/>
        </w:trPr>
        <w:tc>
          <w:tcPr>
            <w:tcW w:w="983" w:type="pct"/>
          </w:tcPr>
          <w:p w14:paraId="27BDECDB" w14:textId="77777777" w:rsidR="000E2E95" w:rsidRPr="005669CE" w:rsidRDefault="000E2E95" w:rsidP="00CE74C2">
            <w:pPr>
              <w:pStyle w:val="TableParagraph"/>
              <w:jc w:val="both"/>
              <w:rPr>
                <w:rFonts w:ascii="Times New Roman"/>
                <w:sz w:val="20"/>
              </w:rPr>
            </w:pPr>
          </w:p>
        </w:tc>
        <w:tc>
          <w:tcPr>
            <w:tcW w:w="914" w:type="pct"/>
          </w:tcPr>
          <w:p w14:paraId="3C346321" w14:textId="77777777" w:rsidR="000E2E95" w:rsidRPr="005669CE" w:rsidRDefault="000E2E95" w:rsidP="00CE74C2">
            <w:pPr>
              <w:pStyle w:val="TableParagraph"/>
              <w:jc w:val="both"/>
              <w:rPr>
                <w:rFonts w:ascii="Times New Roman"/>
                <w:sz w:val="20"/>
              </w:rPr>
            </w:pPr>
          </w:p>
        </w:tc>
        <w:tc>
          <w:tcPr>
            <w:tcW w:w="914" w:type="pct"/>
          </w:tcPr>
          <w:p w14:paraId="40CBAD19" w14:textId="77777777" w:rsidR="000E2E95" w:rsidRPr="005669CE" w:rsidRDefault="000E2E95" w:rsidP="00CE74C2">
            <w:pPr>
              <w:pStyle w:val="TableParagraph"/>
              <w:jc w:val="both"/>
              <w:rPr>
                <w:rFonts w:ascii="Times New Roman"/>
                <w:sz w:val="20"/>
              </w:rPr>
            </w:pPr>
          </w:p>
        </w:tc>
        <w:tc>
          <w:tcPr>
            <w:tcW w:w="2189" w:type="pct"/>
          </w:tcPr>
          <w:p w14:paraId="60BC7631" w14:textId="77777777" w:rsidR="000E2E95" w:rsidRPr="005669CE" w:rsidRDefault="000E2E95" w:rsidP="00CE74C2">
            <w:pPr>
              <w:pStyle w:val="TableParagraph"/>
              <w:jc w:val="both"/>
              <w:rPr>
                <w:rFonts w:ascii="Times New Roman"/>
                <w:sz w:val="20"/>
              </w:rPr>
            </w:pPr>
          </w:p>
        </w:tc>
      </w:tr>
      <w:tr w:rsidR="000C10E3" w14:paraId="6204B118" w14:textId="77777777" w:rsidTr="002F2BDA">
        <w:trPr>
          <w:trHeight w:val="340"/>
        </w:trPr>
        <w:tc>
          <w:tcPr>
            <w:tcW w:w="983" w:type="pct"/>
          </w:tcPr>
          <w:p w14:paraId="12A6CEF1" w14:textId="77777777" w:rsidR="000E2E95" w:rsidRPr="005669CE" w:rsidRDefault="000E2E95" w:rsidP="00CE74C2">
            <w:pPr>
              <w:pStyle w:val="TableParagraph"/>
              <w:jc w:val="both"/>
              <w:rPr>
                <w:rFonts w:ascii="Times New Roman"/>
                <w:sz w:val="20"/>
              </w:rPr>
            </w:pPr>
          </w:p>
        </w:tc>
        <w:tc>
          <w:tcPr>
            <w:tcW w:w="914" w:type="pct"/>
          </w:tcPr>
          <w:p w14:paraId="245DB0C5" w14:textId="77777777" w:rsidR="000E2E95" w:rsidRPr="005669CE" w:rsidRDefault="000E2E95" w:rsidP="00CE74C2">
            <w:pPr>
              <w:pStyle w:val="TableParagraph"/>
              <w:jc w:val="both"/>
              <w:rPr>
                <w:rFonts w:ascii="Times New Roman"/>
                <w:sz w:val="20"/>
              </w:rPr>
            </w:pPr>
          </w:p>
        </w:tc>
        <w:tc>
          <w:tcPr>
            <w:tcW w:w="914" w:type="pct"/>
          </w:tcPr>
          <w:p w14:paraId="39533867" w14:textId="77777777" w:rsidR="000E2E95" w:rsidRPr="005669CE" w:rsidRDefault="000E2E95" w:rsidP="00CE74C2">
            <w:pPr>
              <w:pStyle w:val="TableParagraph"/>
              <w:jc w:val="both"/>
              <w:rPr>
                <w:rFonts w:ascii="Times New Roman"/>
                <w:sz w:val="20"/>
              </w:rPr>
            </w:pPr>
          </w:p>
        </w:tc>
        <w:tc>
          <w:tcPr>
            <w:tcW w:w="2189" w:type="pct"/>
          </w:tcPr>
          <w:p w14:paraId="48A7A228" w14:textId="77777777" w:rsidR="000E2E95" w:rsidRPr="005669CE" w:rsidRDefault="000E2E95" w:rsidP="00CE74C2">
            <w:pPr>
              <w:pStyle w:val="TableParagraph"/>
              <w:jc w:val="both"/>
              <w:rPr>
                <w:rFonts w:ascii="Times New Roman"/>
                <w:sz w:val="20"/>
              </w:rPr>
            </w:pPr>
          </w:p>
        </w:tc>
      </w:tr>
      <w:tr w:rsidR="000C10E3" w14:paraId="1B7A698C" w14:textId="77777777" w:rsidTr="002F2BDA">
        <w:trPr>
          <w:trHeight w:val="340"/>
        </w:trPr>
        <w:tc>
          <w:tcPr>
            <w:tcW w:w="983" w:type="pct"/>
          </w:tcPr>
          <w:p w14:paraId="690ADA61" w14:textId="77777777" w:rsidR="000E2E95" w:rsidRPr="005669CE" w:rsidRDefault="000E2E95" w:rsidP="00CE74C2">
            <w:pPr>
              <w:pStyle w:val="TableParagraph"/>
              <w:jc w:val="both"/>
              <w:rPr>
                <w:rFonts w:ascii="Times New Roman"/>
                <w:sz w:val="20"/>
              </w:rPr>
            </w:pPr>
          </w:p>
        </w:tc>
        <w:tc>
          <w:tcPr>
            <w:tcW w:w="914" w:type="pct"/>
          </w:tcPr>
          <w:p w14:paraId="6068B452" w14:textId="77777777" w:rsidR="000E2E95" w:rsidRPr="005669CE" w:rsidRDefault="000E2E95" w:rsidP="00CE74C2">
            <w:pPr>
              <w:pStyle w:val="TableParagraph"/>
              <w:jc w:val="both"/>
              <w:rPr>
                <w:rFonts w:ascii="Times New Roman"/>
                <w:sz w:val="20"/>
              </w:rPr>
            </w:pPr>
          </w:p>
        </w:tc>
        <w:tc>
          <w:tcPr>
            <w:tcW w:w="914" w:type="pct"/>
          </w:tcPr>
          <w:p w14:paraId="2BDA9C03" w14:textId="77777777" w:rsidR="000E2E95" w:rsidRPr="005669CE" w:rsidRDefault="000E2E95" w:rsidP="00CE74C2">
            <w:pPr>
              <w:pStyle w:val="TableParagraph"/>
              <w:jc w:val="both"/>
              <w:rPr>
                <w:rFonts w:ascii="Times New Roman"/>
                <w:sz w:val="20"/>
              </w:rPr>
            </w:pPr>
          </w:p>
        </w:tc>
        <w:tc>
          <w:tcPr>
            <w:tcW w:w="2189" w:type="pct"/>
          </w:tcPr>
          <w:p w14:paraId="7C9FD9FB" w14:textId="77777777" w:rsidR="000E2E95" w:rsidRPr="005669CE" w:rsidRDefault="000E2E95" w:rsidP="00CE74C2">
            <w:pPr>
              <w:pStyle w:val="TableParagraph"/>
              <w:jc w:val="both"/>
              <w:rPr>
                <w:rFonts w:ascii="Times New Roman"/>
                <w:sz w:val="20"/>
              </w:rPr>
            </w:pPr>
          </w:p>
        </w:tc>
      </w:tr>
    </w:tbl>
    <w:p w14:paraId="422FE0F9" w14:textId="77777777" w:rsidR="000E2E95" w:rsidRDefault="000E2E95" w:rsidP="00CE74C2">
      <w:pPr>
        <w:jc w:val="both"/>
        <w:rPr>
          <w:rFonts w:ascii="Times New Roman"/>
          <w:sz w:val="20"/>
        </w:rPr>
      </w:pPr>
    </w:p>
    <w:p w14:paraId="27E48176" w14:textId="77777777" w:rsidR="00F32013" w:rsidRPr="005669CE" w:rsidRDefault="00F32013" w:rsidP="00CE74C2">
      <w:pPr>
        <w:jc w:val="both"/>
        <w:rPr>
          <w:rFonts w:ascii="Times New Roman"/>
          <w:sz w:val="20"/>
        </w:rPr>
      </w:pPr>
    </w:p>
    <w:p w14:paraId="41D68460" w14:textId="77777777" w:rsidR="009249CC" w:rsidRPr="005669CE" w:rsidRDefault="009249CC" w:rsidP="00A37472">
      <w:pPr>
        <w:pStyle w:val="Heading1"/>
        <w:ind w:left="0"/>
      </w:pPr>
    </w:p>
    <w:p w14:paraId="5DA1417F" w14:textId="77777777" w:rsidR="00A51962" w:rsidRPr="005669CE" w:rsidRDefault="00DB0A1C" w:rsidP="00A37472">
      <w:pPr>
        <w:pStyle w:val="Heading1"/>
        <w:ind w:left="0"/>
      </w:pPr>
      <w:bookmarkStart w:id="39" w:name="_Toc181011876"/>
      <w:r w:rsidRPr="005669CE">
        <w:rPr>
          <w:lang w:val="fr-FR"/>
        </w:rPr>
        <w:t>Supports de formation</w:t>
      </w:r>
      <w:bookmarkEnd w:id="39"/>
    </w:p>
    <w:p w14:paraId="0E5A9130" w14:textId="77777777" w:rsidR="00CC3D86" w:rsidRDefault="00DB0A1C" w:rsidP="00CC3D86">
      <w:pPr>
        <w:pStyle w:val="BodyText"/>
        <w:spacing w:after="160"/>
        <w:ind w:left="0" w:right="306"/>
      </w:pPr>
      <w:r w:rsidRPr="005669CE">
        <w:rPr>
          <w:lang w:val="fr-FR"/>
        </w:rPr>
        <w:t xml:space="preserve">Des supports de formation en anglais et en français pour soutenir la mise en œuvre de l’approche SPPA ont été </w:t>
      </w:r>
      <w:proofErr w:type="spellStart"/>
      <w:r w:rsidRPr="005669CE">
        <w:rPr>
          <w:lang w:val="fr-FR"/>
        </w:rPr>
        <w:t>crées</w:t>
      </w:r>
      <w:proofErr w:type="spellEnd"/>
      <w:r w:rsidRPr="005669CE">
        <w:rPr>
          <w:lang w:val="fr-FR"/>
        </w:rPr>
        <w:t xml:space="preserve"> et sont disponibles sur </w:t>
      </w:r>
      <w:bookmarkStart w:id="40" w:name="_Hlk162501032"/>
      <w:r w:rsidRPr="005669CE">
        <w:rPr>
          <w:lang w:val="fr-FR"/>
        </w:rPr>
        <w:t xml:space="preserve">la même </w:t>
      </w:r>
      <w:hyperlink r:id="rId21" w:history="1">
        <w:r w:rsidR="00074097" w:rsidRPr="005669CE">
          <w:rPr>
            <w:rStyle w:val="Hyperlink"/>
            <w:lang w:val="fr-FR"/>
          </w:rPr>
          <w:t>page Web de l’ESPEN sur l’outil d’évaluation pratique et de précision de la schistosomiase (SPPA)</w:t>
        </w:r>
      </w:hyperlink>
      <w:bookmarkEnd w:id="40"/>
      <w:r w:rsidRPr="005669CE">
        <w:rPr>
          <w:lang w:val="fr-FR"/>
        </w:rPr>
        <w:t xml:space="preserve"> que les autres outils liés au manuel et où toutes les mises à jour de ce manuel seront également disponibles.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038"/>
        <w:gridCol w:w="5038"/>
      </w:tblGrid>
      <w:tr w:rsidR="000C10E3" w14:paraId="52A327C1" w14:textId="77777777" w:rsidTr="00F3205D">
        <w:tc>
          <w:tcPr>
            <w:tcW w:w="5038" w:type="dxa"/>
          </w:tcPr>
          <w:p w14:paraId="43808F11" w14:textId="77777777" w:rsidR="00CC3D86" w:rsidRDefault="00DB0A1C" w:rsidP="00A37472">
            <w:pPr>
              <w:pStyle w:val="BodyText"/>
              <w:ind w:left="0"/>
            </w:pPr>
            <w:r>
              <w:rPr>
                <w:lang w:val="fr-FR"/>
              </w:rPr>
              <w:lastRenderedPageBreak/>
              <w:t>Diapositives d’introduction de l’outil SPPA</w:t>
            </w:r>
          </w:p>
        </w:tc>
        <w:tc>
          <w:tcPr>
            <w:tcW w:w="5038" w:type="dxa"/>
          </w:tcPr>
          <w:p w14:paraId="35FD5498" w14:textId="77777777" w:rsidR="00CC3D86" w:rsidRDefault="00DB0A1C" w:rsidP="00A37472">
            <w:pPr>
              <w:pStyle w:val="BodyText"/>
              <w:ind w:left="0"/>
            </w:pPr>
            <w:r>
              <w:rPr>
                <w:lang w:val="fr-FR"/>
              </w:rPr>
              <w:t>Rôles, responsabilités et composition de l’équipe</w:t>
            </w:r>
          </w:p>
        </w:tc>
      </w:tr>
      <w:tr w:rsidR="000C10E3" w14:paraId="1E68F432" w14:textId="77777777" w:rsidTr="00F3205D">
        <w:tc>
          <w:tcPr>
            <w:tcW w:w="5038" w:type="dxa"/>
          </w:tcPr>
          <w:p w14:paraId="5838FD77" w14:textId="77777777" w:rsidR="00CC3D86" w:rsidRDefault="00DB0A1C" w:rsidP="00A37472">
            <w:pPr>
              <w:pStyle w:val="BodyText"/>
              <w:ind w:left="0"/>
            </w:pPr>
            <w:r>
              <w:rPr>
                <w:lang w:val="fr-FR"/>
              </w:rPr>
              <w:t>Plan d’échantillonnage de l’évaluation pratique</w:t>
            </w:r>
          </w:p>
        </w:tc>
        <w:tc>
          <w:tcPr>
            <w:tcW w:w="5038" w:type="dxa"/>
          </w:tcPr>
          <w:p w14:paraId="1D609CB8" w14:textId="77777777" w:rsidR="00CC3D86" w:rsidRDefault="00DB0A1C" w:rsidP="00A37472">
            <w:pPr>
              <w:pStyle w:val="BodyText"/>
              <w:ind w:left="0"/>
            </w:pPr>
            <w:r>
              <w:rPr>
                <w:lang w:val="fr-FR"/>
              </w:rPr>
              <w:t>Création d’identifiants uniques pour les participants individuels</w:t>
            </w:r>
          </w:p>
        </w:tc>
      </w:tr>
      <w:tr w:rsidR="000C10E3" w14:paraId="4F93DC45" w14:textId="77777777" w:rsidTr="00F3205D">
        <w:tc>
          <w:tcPr>
            <w:tcW w:w="5038" w:type="dxa"/>
          </w:tcPr>
          <w:p w14:paraId="3B6CE23A" w14:textId="77777777" w:rsidR="00CC3D86" w:rsidRDefault="00DB0A1C" w:rsidP="00A37472">
            <w:pPr>
              <w:pStyle w:val="BodyText"/>
              <w:ind w:left="0"/>
            </w:pPr>
            <w:r>
              <w:rPr>
                <w:lang w:val="fr-FR"/>
              </w:rPr>
              <w:t xml:space="preserve">Plan d’échantillonnage </w:t>
            </w:r>
            <w:proofErr w:type="gramStart"/>
            <w:r>
              <w:rPr>
                <w:lang w:val="fr-FR"/>
              </w:rPr>
              <w:t>de évaluation</w:t>
            </w:r>
            <w:proofErr w:type="gramEnd"/>
            <w:r>
              <w:rPr>
                <w:lang w:val="fr-FR"/>
              </w:rPr>
              <w:t xml:space="preserve"> de précision</w:t>
            </w:r>
          </w:p>
        </w:tc>
        <w:tc>
          <w:tcPr>
            <w:tcW w:w="5038" w:type="dxa"/>
          </w:tcPr>
          <w:p w14:paraId="5B2FB086" w14:textId="77777777" w:rsidR="00CC3D86" w:rsidRDefault="00DB0A1C" w:rsidP="00A37472">
            <w:pPr>
              <w:pStyle w:val="BodyText"/>
              <w:ind w:left="0"/>
            </w:pPr>
            <w:r>
              <w:rPr>
                <w:lang w:val="fr-FR"/>
              </w:rPr>
              <w:t>Éthique et consentement</w:t>
            </w:r>
          </w:p>
        </w:tc>
      </w:tr>
      <w:tr w:rsidR="000C10E3" w14:paraId="2A961631" w14:textId="77777777" w:rsidTr="00F3205D">
        <w:tc>
          <w:tcPr>
            <w:tcW w:w="5038" w:type="dxa"/>
          </w:tcPr>
          <w:p w14:paraId="767629DD" w14:textId="77777777" w:rsidR="0044167E" w:rsidRDefault="00DB0A1C" w:rsidP="0044167E">
            <w:pPr>
              <w:pStyle w:val="BodyText"/>
              <w:ind w:left="0"/>
            </w:pPr>
            <w:r>
              <w:rPr>
                <w:lang w:val="fr-FR"/>
              </w:rPr>
              <w:t>Prélèvement de selles</w:t>
            </w:r>
          </w:p>
        </w:tc>
        <w:tc>
          <w:tcPr>
            <w:tcW w:w="5038" w:type="dxa"/>
          </w:tcPr>
          <w:p w14:paraId="2E310B95" w14:textId="77777777" w:rsidR="0044167E" w:rsidRDefault="00DB0A1C" w:rsidP="0044167E">
            <w:pPr>
              <w:pStyle w:val="BodyText"/>
              <w:ind w:left="0"/>
            </w:pPr>
            <w:r>
              <w:rPr>
                <w:lang w:val="fr-FR"/>
              </w:rPr>
              <w:t>Test d’évaluation pratique avant/après (et réponses)</w:t>
            </w:r>
          </w:p>
        </w:tc>
      </w:tr>
      <w:tr w:rsidR="000C10E3" w14:paraId="44069ECE" w14:textId="77777777" w:rsidTr="00F3205D">
        <w:tc>
          <w:tcPr>
            <w:tcW w:w="5038" w:type="dxa"/>
          </w:tcPr>
          <w:p w14:paraId="5ADE1F14" w14:textId="77777777" w:rsidR="0044167E" w:rsidRDefault="00DB0A1C" w:rsidP="0044167E">
            <w:pPr>
              <w:pStyle w:val="BodyText"/>
              <w:ind w:left="0"/>
            </w:pPr>
            <w:r>
              <w:rPr>
                <w:lang w:val="fr-FR"/>
              </w:rPr>
              <w:t>Traitement des selles et diagnostics</w:t>
            </w:r>
          </w:p>
        </w:tc>
        <w:tc>
          <w:tcPr>
            <w:tcW w:w="5038" w:type="dxa"/>
          </w:tcPr>
          <w:p w14:paraId="165B34D5" w14:textId="77777777" w:rsidR="0044167E" w:rsidRDefault="00DB0A1C" w:rsidP="0044167E">
            <w:pPr>
              <w:pStyle w:val="BodyText"/>
              <w:ind w:left="0"/>
            </w:pPr>
            <w:r>
              <w:rPr>
                <w:lang w:val="fr-FR"/>
              </w:rPr>
              <w:t>Test d’évaluation de précision avant/après (et réponses)</w:t>
            </w:r>
          </w:p>
        </w:tc>
      </w:tr>
      <w:tr w:rsidR="000C10E3" w14:paraId="2D3ABD83" w14:textId="77777777" w:rsidTr="00F3205D">
        <w:tc>
          <w:tcPr>
            <w:tcW w:w="5038" w:type="dxa"/>
          </w:tcPr>
          <w:p w14:paraId="4D070CFE" w14:textId="77777777" w:rsidR="00CC3D86" w:rsidRDefault="00DB0A1C" w:rsidP="00A37472">
            <w:pPr>
              <w:pStyle w:val="BodyText"/>
              <w:ind w:left="0"/>
            </w:pPr>
            <w:r>
              <w:rPr>
                <w:lang w:val="fr-FR"/>
              </w:rPr>
              <w:t>Prélèvements d’urine et diagnostics</w:t>
            </w:r>
          </w:p>
        </w:tc>
        <w:tc>
          <w:tcPr>
            <w:tcW w:w="5038" w:type="dxa"/>
          </w:tcPr>
          <w:p w14:paraId="228A430B" w14:textId="77777777" w:rsidR="00CC3D86" w:rsidRDefault="00CC3D86" w:rsidP="00A37472">
            <w:pPr>
              <w:pStyle w:val="BodyText"/>
              <w:ind w:left="0"/>
            </w:pPr>
          </w:p>
        </w:tc>
      </w:tr>
    </w:tbl>
    <w:p w14:paraId="3E444E66" w14:textId="77777777" w:rsidR="00F32013" w:rsidRDefault="00F32013" w:rsidP="00CE74C2">
      <w:pPr>
        <w:pStyle w:val="Heading1"/>
        <w:jc w:val="both"/>
        <w:rPr>
          <w:color w:val="1F3863"/>
          <w:spacing w:val="-2"/>
          <w:lang w:val="fr-FR"/>
        </w:rPr>
      </w:pPr>
      <w:bookmarkStart w:id="41" w:name="_bookmark18"/>
      <w:bookmarkEnd w:id="41"/>
    </w:p>
    <w:p w14:paraId="21DC1B32" w14:textId="77777777" w:rsidR="00F32013" w:rsidRDefault="00F32013" w:rsidP="00CE74C2">
      <w:pPr>
        <w:pStyle w:val="Heading1"/>
        <w:jc w:val="both"/>
        <w:rPr>
          <w:color w:val="1F3863"/>
          <w:spacing w:val="-2"/>
          <w:lang w:val="fr-FR"/>
        </w:rPr>
      </w:pPr>
    </w:p>
    <w:p w14:paraId="285569DB" w14:textId="5D806629" w:rsidR="000E2E95" w:rsidRPr="005669CE" w:rsidRDefault="00DB0A1C" w:rsidP="00CE74C2">
      <w:pPr>
        <w:pStyle w:val="Heading1"/>
        <w:jc w:val="both"/>
      </w:pPr>
      <w:bookmarkStart w:id="42" w:name="_Toc181011877"/>
      <w:r w:rsidRPr="005669CE">
        <w:rPr>
          <w:color w:val="1F3863"/>
          <w:spacing w:val="-2"/>
          <w:lang w:val="fr-FR"/>
        </w:rPr>
        <w:t>Références</w:t>
      </w:r>
      <w:bookmarkEnd w:id="42"/>
    </w:p>
    <w:p w14:paraId="6FCAB93E" w14:textId="77777777" w:rsidR="000E2E95" w:rsidRPr="005669CE" w:rsidRDefault="00DB0A1C" w:rsidP="00341A0D">
      <w:pPr>
        <w:pStyle w:val="BodyText"/>
      </w:pPr>
      <w:r w:rsidRPr="005669CE">
        <w:rPr>
          <w:lang w:val="fr-FR"/>
        </w:rPr>
        <w:t xml:space="preserve">Colley DG, </w:t>
      </w:r>
      <w:proofErr w:type="spellStart"/>
      <w:r w:rsidRPr="005669CE">
        <w:rPr>
          <w:lang w:val="fr-FR"/>
        </w:rPr>
        <w:t>Bustinduy</w:t>
      </w:r>
      <w:proofErr w:type="spellEnd"/>
      <w:r w:rsidRPr="005669CE">
        <w:rPr>
          <w:lang w:val="fr-FR"/>
        </w:rPr>
        <w:t xml:space="preserve"> AL, </w:t>
      </w:r>
      <w:proofErr w:type="spellStart"/>
      <w:r w:rsidRPr="005669CE">
        <w:rPr>
          <w:lang w:val="fr-FR"/>
        </w:rPr>
        <w:t>Secor</w:t>
      </w:r>
      <w:proofErr w:type="spellEnd"/>
      <w:r w:rsidRPr="005669CE">
        <w:rPr>
          <w:lang w:val="fr-FR"/>
        </w:rPr>
        <w:t xml:space="preserve"> WE, King CH. (2014) Human </w:t>
      </w:r>
      <w:proofErr w:type="spellStart"/>
      <w:r w:rsidRPr="005669CE">
        <w:rPr>
          <w:lang w:val="fr-FR"/>
        </w:rPr>
        <w:t>schistosomiasis</w:t>
      </w:r>
      <w:proofErr w:type="spellEnd"/>
      <w:r w:rsidRPr="005669CE">
        <w:rPr>
          <w:lang w:val="fr-FR"/>
        </w:rPr>
        <w:t xml:space="preserve">. </w:t>
      </w:r>
      <w:r w:rsidRPr="005669CE">
        <w:rPr>
          <w:i/>
          <w:iCs/>
          <w:lang w:val="fr-FR"/>
        </w:rPr>
        <w:t xml:space="preserve">Lancet. </w:t>
      </w:r>
      <w:proofErr w:type="spellStart"/>
      <w:proofErr w:type="gramStart"/>
      <w:r w:rsidRPr="005669CE">
        <w:rPr>
          <w:lang w:val="fr-FR"/>
        </w:rPr>
        <w:t>doi</w:t>
      </w:r>
      <w:proofErr w:type="spellEnd"/>
      <w:r w:rsidRPr="005669CE">
        <w:rPr>
          <w:lang w:val="fr-FR"/>
        </w:rPr>
        <w:t>:</w:t>
      </w:r>
      <w:proofErr w:type="gramEnd"/>
      <w:r w:rsidRPr="005669CE">
        <w:rPr>
          <w:lang w:val="fr-FR"/>
        </w:rPr>
        <w:t xml:space="preserve"> 10.1016/S0140- 6736(13)61949-2.</w:t>
      </w:r>
    </w:p>
    <w:p w14:paraId="4F3172B0" w14:textId="77777777" w:rsidR="000E2E95" w:rsidRPr="005669CE" w:rsidRDefault="00DB0A1C" w:rsidP="00341A0D">
      <w:pPr>
        <w:pStyle w:val="BodyText"/>
      </w:pPr>
      <w:proofErr w:type="spellStart"/>
      <w:r w:rsidRPr="005669CE">
        <w:rPr>
          <w:lang w:val="fr-FR"/>
        </w:rPr>
        <w:t>Grolimund</w:t>
      </w:r>
      <w:proofErr w:type="spellEnd"/>
      <w:r w:rsidRPr="005669CE">
        <w:rPr>
          <w:lang w:val="fr-FR"/>
        </w:rPr>
        <w:t xml:space="preserve"> CM, </w:t>
      </w:r>
      <w:proofErr w:type="spellStart"/>
      <w:r w:rsidRPr="005669CE">
        <w:rPr>
          <w:lang w:val="fr-FR"/>
        </w:rPr>
        <w:t>Bärenbold</w:t>
      </w:r>
      <w:proofErr w:type="spellEnd"/>
      <w:r w:rsidRPr="005669CE">
        <w:rPr>
          <w:lang w:val="fr-FR"/>
        </w:rPr>
        <w:t xml:space="preserve"> O, </w:t>
      </w:r>
      <w:proofErr w:type="spellStart"/>
      <w:r w:rsidRPr="005669CE">
        <w:rPr>
          <w:lang w:val="fr-FR"/>
        </w:rPr>
        <w:t>Hatz</w:t>
      </w:r>
      <w:proofErr w:type="spellEnd"/>
      <w:r w:rsidRPr="005669CE">
        <w:rPr>
          <w:lang w:val="fr-FR"/>
        </w:rPr>
        <w:t xml:space="preserve"> CF, </w:t>
      </w:r>
      <w:proofErr w:type="spellStart"/>
      <w:r w:rsidRPr="005669CE">
        <w:rPr>
          <w:lang w:val="fr-FR"/>
        </w:rPr>
        <w:t>Vennervald</w:t>
      </w:r>
      <w:proofErr w:type="spellEnd"/>
      <w:r w:rsidRPr="005669CE">
        <w:rPr>
          <w:lang w:val="fr-FR"/>
        </w:rPr>
        <w:t xml:space="preserve"> BJ, </w:t>
      </w:r>
      <w:proofErr w:type="spellStart"/>
      <w:r w:rsidRPr="005669CE">
        <w:rPr>
          <w:lang w:val="fr-FR"/>
        </w:rPr>
        <w:t>Mayombana</w:t>
      </w:r>
      <w:proofErr w:type="spellEnd"/>
      <w:r w:rsidRPr="005669CE">
        <w:rPr>
          <w:lang w:val="fr-FR"/>
        </w:rPr>
        <w:t xml:space="preserve"> C, </w:t>
      </w:r>
      <w:proofErr w:type="spellStart"/>
      <w:r w:rsidRPr="005669CE">
        <w:rPr>
          <w:lang w:val="fr-FR"/>
        </w:rPr>
        <w:t>Mshinda</w:t>
      </w:r>
      <w:proofErr w:type="spellEnd"/>
      <w:r w:rsidRPr="005669CE">
        <w:rPr>
          <w:lang w:val="fr-FR"/>
        </w:rPr>
        <w:t xml:space="preserve"> H, </w:t>
      </w:r>
      <w:proofErr w:type="spellStart"/>
      <w:r w:rsidRPr="005669CE">
        <w:rPr>
          <w:lang w:val="fr-FR"/>
        </w:rPr>
        <w:t>Utzinger</w:t>
      </w:r>
      <w:proofErr w:type="spellEnd"/>
      <w:r w:rsidRPr="005669CE">
        <w:rPr>
          <w:lang w:val="fr-FR"/>
        </w:rPr>
        <w:t xml:space="preserve"> J, </w:t>
      </w:r>
      <w:proofErr w:type="spellStart"/>
      <w:r w:rsidRPr="005669CE">
        <w:rPr>
          <w:lang w:val="fr-FR"/>
        </w:rPr>
        <w:t>Vounatsou</w:t>
      </w:r>
      <w:proofErr w:type="spellEnd"/>
    </w:p>
    <w:p w14:paraId="3709AAD2" w14:textId="77777777" w:rsidR="000E2E95" w:rsidRPr="005669CE" w:rsidRDefault="00DB0A1C" w:rsidP="00341A0D">
      <w:pPr>
        <w:pStyle w:val="BodyText"/>
      </w:pPr>
      <w:r w:rsidRPr="005669CE">
        <w:rPr>
          <w:lang w:val="fr-FR"/>
        </w:rPr>
        <w:t xml:space="preserve">P. Infection </w:t>
      </w:r>
      <w:proofErr w:type="spellStart"/>
      <w:r w:rsidRPr="005669CE">
        <w:rPr>
          <w:lang w:val="fr-FR"/>
        </w:rPr>
        <w:t>intensity-dependent</w:t>
      </w:r>
      <w:proofErr w:type="spellEnd"/>
      <w:r w:rsidRPr="005669CE">
        <w:rPr>
          <w:lang w:val="fr-FR"/>
        </w:rPr>
        <w:t xml:space="preserve"> </w:t>
      </w:r>
      <w:proofErr w:type="spellStart"/>
      <w:r w:rsidRPr="005669CE">
        <w:rPr>
          <w:lang w:val="fr-FR"/>
        </w:rPr>
        <w:t>accuracy</w:t>
      </w:r>
      <w:proofErr w:type="spellEnd"/>
      <w:r w:rsidRPr="005669CE">
        <w:rPr>
          <w:lang w:val="fr-FR"/>
        </w:rPr>
        <w:t xml:space="preserve"> of </w:t>
      </w:r>
      <w:proofErr w:type="spellStart"/>
      <w:r w:rsidRPr="005669CE">
        <w:rPr>
          <w:lang w:val="fr-FR"/>
        </w:rPr>
        <w:t>reagent</w:t>
      </w:r>
      <w:proofErr w:type="spellEnd"/>
      <w:r w:rsidRPr="005669CE">
        <w:rPr>
          <w:lang w:val="fr-FR"/>
        </w:rPr>
        <w:t xml:space="preserve"> </w:t>
      </w:r>
      <w:proofErr w:type="spellStart"/>
      <w:r w:rsidRPr="005669CE">
        <w:rPr>
          <w:lang w:val="fr-FR"/>
        </w:rPr>
        <w:t>strip</w:t>
      </w:r>
      <w:proofErr w:type="spellEnd"/>
      <w:r w:rsidRPr="005669CE">
        <w:rPr>
          <w:lang w:val="fr-FR"/>
        </w:rPr>
        <w:t xml:space="preserve"> for the </w:t>
      </w:r>
      <w:proofErr w:type="spellStart"/>
      <w:r w:rsidRPr="005669CE">
        <w:rPr>
          <w:lang w:val="fr-FR"/>
        </w:rPr>
        <w:t>diagnosis</w:t>
      </w:r>
      <w:proofErr w:type="spellEnd"/>
      <w:r w:rsidRPr="005669CE">
        <w:rPr>
          <w:lang w:val="fr-FR"/>
        </w:rPr>
        <w:t xml:space="preserve"> of </w:t>
      </w:r>
      <w:proofErr w:type="spellStart"/>
      <w:r w:rsidRPr="005669CE">
        <w:rPr>
          <w:lang w:val="fr-FR"/>
        </w:rPr>
        <w:t>Schistosoma</w:t>
      </w:r>
      <w:proofErr w:type="spellEnd"/>
      <w:r w:rsidRPr="005669CE">
        <w:rPr>
          <w:lang w:val="fr-FR"/>
        </w:rPr>
        <w:t xml:space="preserve"> </w:t>
      </w:r>
      <w:proofErr w:type="spellStart"/>
      <w:r w:rsidRPr="005669CE">
        <w:rPr>
          <w:lang w:val="fr-FR"/>
        </w:rPr>
        <w:t>haematobium</w:t>
      </w:r>
      <w:proofErr w:type="spellEnd"/>
      <w:r w:rsidRPr="005669CE">
        <w:rPr>
          <w:lang w:val="fr-FR"/>
        </w:rPr>
        <w:t xml:space="preserve"> and estimation of </w:t>
      </w:r>
      <w:proofErr w:type="spellStart"/>
      <w:r w:rsidRPr="005669CE">
        <w:rPr>
          <w:lang w:val="fr-FR"/>
        </w:rPr>
        <w:t>treatment</w:t>
      </w:r>
      <w:proofErr w:type="spellEnd"/>
      <w:r w:rsidRPr="005669CE">
        <w:rPr>
          <w:lang w:val="fr-FR"/>
        </w:rPr>
        <w:t xml:space="preserve"> </w:t>
      </w:r>
      <w:proofErr w:type="spellStart"/>
      <w:r w:rsidRPr="005669CE">
        <w:rPr>
          <w:lang w:val="fr-FR"/>
        </w:rPr>
        <w:t>prevalence</w:t>
      </w:r>
      <w:proofErr w:type="spellEnd"/>
      <w:r w:rsidRPr="005669CE">
        <w:rPr>
          <w:lang w:val="fr-FR"/>
        </w:rPr>
        <w:t xml:space="preserve"> </w:t>
      </w:r>
      <w:proofErr w:type="spellStart"/>
      <w:r w:rsidRPr="005669CE">
        <w:rPr>
          <w:lang w:val="fr-FR"/>
        </w:rPr>
        <w:t>thresholds</w:t>
      </w:r>
      <w:proofErr w:type="spellEnd"/>
      <w:r w:rsidRPr="005669CE">
        <w:rPr>
          <w:lang w:val="fr-FR"/>
        </w:rPr>
        <w:t xml:space="preserve">. </w:t>
      </w:r>
      <w:proofErr w:type="spellStart"/>
      <w:r w:rsidRPr="005669CE">
        <w:rPr>
          <w:lang w:val="fr-FR"/>
        </w:rPr>
        <w:t>PLoS</w:t>
      </w:r>
      <w:proofErr w:type="spellEnd"/>
      <w:r w:rsidRPr="005669CE">
        <w:rPr>
          <w:lang w:val="fr-FR"/>
        </w:rPr>
        <w:t xml:space="preserve"> </w:t>
      </w:r>
      <w:proofErr w:type="spellStart"/>
      <w:r w:rsidRPr="005669CE">
        <w:rPr>
          <w:lang w:val="fr-FR"/>
        </w:rPr>
        <w:t>Negl</w:t>
      </w:r>
      <w:proofErr w:type="spellEnd"/>
      <w:r w:rsidRPr="005669CE">
        <w:rPr>
          <w:lang w:val="fr-FR"/>
        </w:rPr>
        <w:t xml:space="preserve"> Trop Dis. 2022 </w:t>
      </w:r>
      <w:proofErr w:type="spellStart"/>
      <w:r w:rsidRPr="005669CE">
        <w:rPr>
          <w:lang w:val="fr-FR"/>
        </w:rPr>
        <w:t>Apr</w:t>
      </w:r>
      <w:proofErr w:type="spellEnd"/>
      <w:r w:rsidRPr="005669CE">
        <w:rPr>
          <w:lang w:val="fr-FR"/>
        </w:rPr>
        <w:t xml:space="preserve"> </w:t>
      </w:r>
      <w:proofErr w:type="gramStart"/>
      <w:r w:rsidRPr="005669CE">
        <w:rPr>
          <w:lang w:val="fr-FR"/>
        </w:rPr>
        <w:t>25;</w:t>
      </w:r>
      <w:proofErr w:type="gramEnd"/>
      <w:r w:rsidRPr="005669CE">
        <w:rPr>
          <w:lang w:val="fr-FR"/>
        </w:rPr>
        <w:t xml:space="preserve">16(4):e0010332. </w:t>
      </w:r>
      <w:proofErr w:type="spellStart"/>
      <w:proofErr w:type="gramStart"/>
      <w:r w:rsidRPr="005669CE">
        <w:rPr>
          <w:lang w:val="fr-FR"/>
        </w:rPr>
        <w:t>doi</w:t>
      </w:r>
      <w:proofErr w:type="spellEnd"/>
      <w:proofErr w:type="gramEnd"/>
      <w:r w:rsidRPr="005669CE">
        <w:rPr>
          <w:lang w:val="fr-FR"/>
        </w:rPr>
        <w:t> : 10.1371/journal.pntd.0010332. PMID : 35468129 ; PMCID : PMC9071146.</w:t>
      </w:r>
    </w:p>
    <w:p w14:paraId="08EB0ED0" w14:textId="77777777" w:rsidR="000E2E95" w:rsidRPr="005669CE" w:rsidRDefault="00DB0A1C" w:rsidP="00341A0D">
      <w:pPr>
        <w:pStyle w:val="BodyText"/>
      </w:pPr>
      <w:r w:rsidRPr="005669CE">
        <w:rPr>
          <w:color w:val="1F1F1F"/>
          <w:lang w:val="fr-FR"/>
        </w:rPr>
        <w:t>Organisation mondiale de la santé</w:t>
      </w:r>
      <w:r w:rsidRPr="005669CE">
        <w:rPr>
          <w:lang w:val="fr-FR"/>
        </w:rPr>
        <w:t xml:space="preserve">. </w:t>
      </w:r>
      <w:proofErr w:type="spellStart"/>
      <w:r w:rsidRPr="005669CE">
        <w:rPr>
          <w:lang w:val="fr-FR"/>
        </w:rPr>
        <w:t>Schistosomiasis</w:t>
      </w:r>
      <w:proofErr w:type="spellEnd"/>
      <w:r w:rsidRPr="005669CE">
        <w:rPr>
          <w:lang w:val="fr-FR"/>
        </w:rPr>
        <w:t xml:space="preserve"> and </w:t>
      </w:r>
      <w:proofErr w:type="spellStart"/>
      <w:r w:rsidRPr="005669CE">
        <w:rPr>
          <w:lang w:val="fr-FR"/>
        </w:rPr>
        <w:t>soil-transmitted</w:t>
      </w:r>
      <w:proofErr w:type="spellEnd"/>
      <w:r w:rsidRPr="005669CE">
        <w:rPr>
          <w:lang w:val="fr-FR"/>
        </w:rPr>
        <w:t xml:space="preserve"> </w:t>
      </w:r>
      <w:proofErr w:type="gramStart"/>
      <w:r w:rsidRPr="005669CE">
        <w:rPr>
          <w:lang w:val="fr-FR"/>
        </w:rPr>
        <w:t>helminthiases:</w:t>
      </w:r>
      <w:proofErr w:type="gramEnd"/>
      <w:r w:rsidRPr="005669CE">
        <w:rPr>
          <w:lang w:val="fr-FR"/>
        </w:rPr>
        <w:t xml:space="preserve"> </w:t>
      </w:r>
      <w:proofErr w:type="spellStart"/>
      <w:r w:rsidRPr="005669CE">
        <w:rPr>
          <w:lang w:val="fr-FR"/>
        </w:rPr>
        <w:t>numbers</w:t>
      </w:r>
      <w:proofErr w:type="spellEnd"/>
      <w:r w:rsidRPr="005669CE">
        <w:rPr>
          <w:lang w:val="fr-FR"/>
        </w:rPr>
        <w:t xml:space="preserve"> of people </w:t>
      </w:r>
      <w:proofErr w:type="spellStart"/>
      <w:r w:rsidRPr="005669CE">
        <w:rPr>
          <w:lang w:val="fr-FR"/>
        </w:rPr>
        <w:t>treated</w:t>
      </w:r>
      <w:proofErr w:type="spellEnd"/>
      <w:r w:rsidRPr="005669CE">
        <w:rPr>
          <w:lang w:val="fr-FR"/>
        </w:rPr>
        <w:t xml:space="preserve"> </w:t>
      </w:r>
      <w:proofErr w:type="spellStart"/>
      <w:r w:rsidRPr="005669CE">
        <w:rPr>
          <w:lang w:val="fr-FR"/>
        </w:rPr>
        <w:t>in</w:t>
      </w:r>
      <w:proofErr w:type="spellEnd"/>
      <w:r w:rsidRPr="005669CE">
        <w:rPr>
          <w:lang w:val="fr-FR"/>
        </w:rPr>
        <w:t xml:space="preserve"> 2017. </w:t>
      </w:r>
      <w:proofErr w:type="spellStart"/>
      <w:r w:rsidRPr="005669CE">
        <w:rPr>
          <w:lang w:val="fr-FR"/>
        </w:rPr>
        <w:t>Wkly</w:t>
      </w:r>
      <w:proofErr w:type="spellEnd"/>
      <w:r w:rsidRPr="005669CE">
        <w:rPr>
          <w:lang w:val="fr-FR"/>
        </w:rPr>
        <w:t xml:space="preserve"> </w:t>
      </w:r>
      <w:proofErr w:type="spellStart"/>
      <w:r w:rsidRPr="005669CE">
        <w:rPr>
          <w:lang w:val="fr-FR"/>
        </w:rPr>
        <w:t>Epidemiol</w:t>
      </w:r>
      <w:proofErr w:type="spellEnd"/>
      <w:r w:rsidRPr="005669CE">
        <w:rPr>
          <w:lang w:val="fr-FR"/>
        </w:rPr>
        <w:t xml:space="preserve"> Rec. 94 : 601–612</w:t>
      </w:r>
    </w:p>
    <w:p w14:paraId="3CA3F0D8" w14:textId="77777777" w:rsidR="000E2E95" w:rsidRPr="005669CE" w:rsidRDefault="00DB0A1C" w:rsidP="00341A0D">
      <w:pPr>
        <w:pStyle w:val="BodyText"/>
      </w:pPr>
      <w:r w:rsidRPr="005669CE">
        <w:rPr>
          <w:color w:val="1F1F1F"/>
          <w:lang w:val="fr-FR"/>
        </w:rPr>
        <w:t>Organisation mondiale de la santé</w:t>
      </w:r>
      <w:r w:rsidRPr="005669CE">
        <w:rPr>
          <w:lang w:val="fr-FR"/>
        </w:rPr>
        <w:t xml:space="preserve">. Élimination de la schistosomiase. Résolution 6521 de l’OMS. 2012 ; 1–2. Accessible ici : </w:t>
      </w:r>
      <w:hyperlink r:id="rId22" w:history="1">
        <w:r w:rsidRPr="005669CE">
          <w:rPr>
            <w:color w:val="0462C1"/>
            <w:u w:val="single" w:color="0462C1"/>
            <w:lang w:val="fr-FR"/>
          </w:rPr>
          <w:t>https://apps.who.int/gb/ebwha/pdf_files/WHA65/A65_21-fr.pdf</w:t>
        </w:r>
        <w:r w:rsidRPr="005669CE">
          <w:rPr>
            <w:lang w:val="fr-FR"/>
          </w:rPr>
          <w:t>.</w:t>
        </w:r>
      </w:hyperlink>
      <w:r w:rsidRPr="005669CE">
        <w:rPr>
          <w:lang w:val="fr-FR"/>
        </w:rPr>
        <w:t xml:space="preserve"> Consulté le 9 juillet 2021.</w:t>
      </w:r>
    </w:p>
    <w:p w14:paraId="785B598B" w14:textId="77777777" w:rsidR="000E2E95" w:rsidRPr="005669CE" w:rsidRDefault="00DB0A1C" w:rsidP="00341A0D">
      <w:pPr>
        <w:pStyle w:val="BodyText"/>
      </w:pPr>
      <w:r w:rsidRPr="005669CE">
        <w:rPr>
          <w:color w:val="1F1F1F"/>
          <w:lang w:val="fr-FR"/>
        </w:rPr>
        <w:t>Organisation mondiale de la santé</w:t>
      </w:r>
      <w:r w:rsidRPr="005669CE">
        <w:rPr>
          <w:lang w:val="fr-FR"/>
        </w:rPr>
        <w:t>. Rapport de situation sur la schistosomiase 2001-2011 et plan stratégique 2012-2020.</w:t>
      </w:r>
    </w:p>
    <w:p w14:paraId="638729D9" w14:textId="77777777" w:rsidR="000E2E95" w:rsidRPr="005669CE" w:rsidRDefault="00DB0A1C" w:rsidP="00341A0D">
      <w:pPr>
        <w:pStyle w:val="BodyText"/>
      </w:pPr>
      <w:r w:rsidRPr="005669CE">
        <w:rPr>
          <w:lang w:val="fr-FR"/>
        </w:rPr>
        <w:t>Genève : Organisation mondiale de la santé, 2013 ; 80.</w:t>
      </w:r>
    </w:p>
    <w:p w14:paraId="535D4984" w14:textId="77777777" w:rsidR="000E2E95" w:rsidRPr="005669CE" w:rsidRDefault="00DB0A1C" w:rsidP="00341A0D">
      <w:pPr>
        <w:pStyle w:val="BodyText"/>
      </w:pPr>
      <w:r w:rsidRPr="005669CE">
        <w:rPr>
          <w:lang w:val="fr-FR"/>
        </w:rPr>
        <w:t>Organisation mondiale de la santé. Mettre fin à la négligence d’atteindre les objectifs de développement durable : un cadre d’action durable contre les maladies tropicales négligées 2021-2030 Genève : Organisation mondiale de la santé, 2020.</w:t>
      </w:r>
    </w:p>
    <w:p w14:paraId="3CDA2512" w14:textId="77777777" w:rsidR="000E2E95" w:rsidRPr="005669CE" w:rsidRDefault="00DB0A1C" w:rsidP="00341A0D">
      <w:pPr>
        <w:pStyle w:val="BodyText"/>
      </w:pPr>
      <w:r w:rsidRPr="005669CE">
        <w:rPr>
          <w:lang w:val="fr-FR"/>
        </w:rPr>
        <w:t>Organisation mondiale de la santé. Lutte contre les helminthiases chez les enfants d’âge scolaire : Guide à l’intention des responsables des programmes de lutte. 2e éd. Genève : Organisation mondiale de la santé ; 2011.</w:t>
      </w:r>
    </w:p>
    <w:p w14:paraId="17CCEE65" w14:textId="77777777" w:rsidR="000E2E95" w:rsidRPr="005669CE" w:rsidRDefault="000E2E95" w:rsidP="00CE74C2">
      <w:pPr>
        <w:spacing w:line="259" w:lineRule="auto"/>
        <w:jc w:val="both"/>
        <w:sectPr w:rsidR="000E2E95" w:rsidRPr="005669CE" w:rsidSect="008622E9">
          <w:pgSz w:w="12240" w:h="15840"/>
          <w:pgMar w:top="1440" w:right="1077" w:bottom="1440" w:left="1077" w:header="720" w:footer="720" w:gutter="0"/>
          <w:cols w:space="720"/>
        </w:sectPr>
      </w:pPr>
    </w:p>
    <w:p w14:paraId="2BE25DC7" w14:textId="77777777" w:rsidR="006F630B" w:rsidRDefault="00DB0A1C" w:rsidP="00CE74C2">
      <w:pPr>
        <w:pStyle w:val="Heading1"/>
        <w:jc w:val="both"/>
        <w:rPr>
          <w:color w:val="1F3863"/>
          <w:spacing w:val="-2"/>
        </w:rPr>
      </w:pPr>
      <w:bookmarkStart w:id="43" w:name="_bookmark19"/>
      <w:bookmarkStart w:id="44" w:name="_Toc181011878"/>
      <w:bookmarkEnd w:id="43"/>
      <w:r w:rsidRPr="005669CE">
        <w:rPr>
          <w:color w:val="1F3863"/>
          <w:spacing w:val="-2"/>
          <w:lang w:val="fr-FR"/>
        </w:rPr>
        <w:lastRenderedPageBreak/>
        <w:t xml:space="preserve">Annexe 1 : Formulaires d’enquête (à utiliser dans le système ESPEN </w:t>
      </w:r>
      <w:proofErr w:type="spellStart"/>
      <w:r w:rsidRPr="005669CE">
        <w:rPr>
          <w:color w:val="1F3863"/>
          <w:spacing w:val="-2"/>
          <w:lang w:val="fr-FR"/>
        </w:rPr>
        <w:t>Collect</w:t>
      </w:r>
      <w:proofErr w:type="spellEnd"/>
      <w:r w:rsidRPr="005669CE">
        <w:rPr>
          <w:color w:val="1F3863"/>
          <w:spacing w:val="-2"/>
          <w:lang w:val="fr-FR"/>
        </w:rPr>
        <w:t>)</w:t>
      </w:r>
      <w:bookmarkEnd w:id="44"/>
    </w:p>
    <w:p w14:paraId="263460E7" w14:textId="77777777" w:rsidR="00A14297" w:rsidRPr="006A3D8C" w:rsidRDefault="00DB0A1C" w:rsidP="00A14297">
      <w:pPr>
        <w:pStyle w:val="BodyText"/>
        <w:rPr>
          <w:b/>
          <w:bCs/>
        </w:rPr>
      </w:pPr>
      <w:r w:rsidRPr="006A3D8C">
        <w:rPr>
          <w:b/>
          <w:bCs/>
          <w:lang w:val="fr-FR"/>
        </w:rPr>
        <w:t>L’équipe chargée des données de l’ESPEN dispose de copies de tous les formulaires électroniques.</w:t>
      </w:r>
    </w:p>
    <w:p w14:paraId="42764DF1" w14:textId="77777777" w:rsidR="006A3D8C" w:rsidRDefault="006A3D8C" w:rsidP="003F1F88">
      <w:pPr>
        <w:pStyle w:val="Heading2"/>
      </w:pPr>
      <w:bookmarkStart w:id="45" w:name="_bookmark20"/>
      <w:bookmarkStart w:id="46" w:name="_Site_Level_(School"/>
      <w:bookmarkEnd w:id="45"/>
      <w:bookmarkEnd w:id="46"/>
    </w:p>
    <w:p w14:paraId="4F98F017" w14:textId="77777777" w:rsidR="000E2E95" w:rsidRPr="005669CE" w:rsidRDefault="00DB0A1C" w:rsidP="003F1F88">
      <w:pPr>
        <w:pStyle w:val="Heading2"/>
      </w:pPr>
      <w:bookmarkStart w:id="47" w:name="_Toc181011879"/>
      <w:r w:rsidRPr="005669CE">
        <w:rPr>
          <w:lang w:val="fr-FR"/>
        </w:rPr>
        <w:t>Formulaire au niveau du site (école ou communauté)</w:t>
      </w:r>
      <w:bookmarkEnd w:id="47"/>
    </w:p>
    <w:p w14:paraId="393F7E85" w14:textId="77777777" w:rsidR="000E2E95" w:rsidRPr="005669CE" w:rsidRDefault="000E2E95" w:rsidP="00341A0D">
      <w:pPr>
        <w:pStyle w:val="BodyText"/>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6"/>
        <w:gridCol w:w="2701"/>
        <w:gridCol w:w="3536"/>
        <w:gridCol w:w="2420"/>
      </w:tblGrid>
      <w:tr w:rsidR="000C10E3" w14:paraId="5CB4C164" w14:textId="77777777">
        <w:trPr>
          <w:trHeight w:val="462"/>
        </w:trPr>
        <w:tc>
          <w:tcPr>
            <w:tcW w:w="706" w:type="dxa"/>
          </w:tcPr>
          <w:p w14:paraId="53E577D3" w14:textId="77777777" w:rsidR="000E2E95" w:rsidRPr="005669CE" w:rsidRDefault="00DB0A1C" w:rsidP="00CE74C2">
            <w:pPr>
              <w:pStyle w:val="TableParagraph"/>
              <w:spacing w:before="13"/>
              <w:ind w:left="14"/>
              <w:jc w:val="both"/>
              <w:rPr>
                <w:b/>
              </w:rPr>
            </w:pPr>
            <w:r w:rsidRPr="005669CE">
              <w:rPr>
                <w:b/>
                <w:bCs/>
                <w:spacing w:val="-5"/>
                <w:lang w:val="fr-FR"/>
              </w:rPr>
              <w:t>N°</w:t>
            </w:r>
          </w:p>
        </w:tc>
        <w:tc>
          <w:tcPr>
            <w:tcW w:w="2701" w:type="dxa"/>
            <w:tcBorders>
              <w:top w:val="single" w:sz="4" w:space="0" w:color="7E7E7E"/>
              <w:bottom w:val="single" w:sz="4" w:space="0" w:color="7E7E7E"/>
              <w:right w:val="single" w:sz="4" w:space="0" w:color="7E7E7E"/>
            </w:tcBorders>
          </w:tcPr>
          <w:p w14:paraId="2532CCBF" w14:textId="77777777" w:rsidR="000E2E95" w:rsidRPr="005669CE" w:rsidRDefault="00DB0A1C" w:rsidP="00CE74C2">
            <w:pPr>
              <w:pStyle w:val="TableParagraph"/>
              <w:spacing w:before="13"/>
              <w:ind w:left="13"/>
              <w:jc w:val="both"/>
              <w:rPr>
                <w:b/>
              </w:rPr>
            </w:pPr>
            <w:r w:rsidRPr="005669CE">
              <w:rPr>
                <w:b/>
                <w:bCs/>
                <w:spacing w:val="-2"/>
                <w:lang w:val="fr-FR"/>
              </w:rPr>
              <w:t>Variable</w:t>
            </w:r>
          </w:p>
        </w:tc>
        <w:tc>
          <w:tcPr>
            <w:tcW w:w="3536" w:type="dxa"/>
            <w:tcBorders>
              <w:top w:val="single" w:sz="4" w:space="0" w:color="7E7E7E"/>
              <w:left w:val="single" w:sz="4" w:space="0" w:color="7E7E7E"/>
              <w:bottom w:val="single" w:sz="4" w:space="0" w:color="7E7E7E"/>
              <w:right w:val="single" w:sz="4" w:space="0" w:color="7E7E7E"/>
            </w:tcBorders>
          </w:tcPr>
          <w:p w14:paraId="28E56EDD" w14:textId="77777777" w:rsidR="000E2E95" w:rsidRPr="005669CE" w:rsidRDefault="00DB0A1C" w:rsidP="00CE74C2">
            <w:pPr>
              <w:pStyle w:val="TableParagraph"/>
              <w:spacing w:before="13"/>
              <w:ind w:left="13"/>
              <w:jc w:val="both"/>
              <w:rPr>
                <w:b/>
              </w:rPr>
            </w:pPr>
            <w:r w:rsidRPr="005669CE">
              <w:rPr>
                <w:b/>
                <w:bCs/>
                <w:spacing w:val="-2"/>
                <w:lang w:val="fr-FR"/>
              </w:rPr>
              <w:t>Étiquette</w:t>
            </w:r>
          </w:p>
        </w:tc>
        <w:tc>
          <w:tcPr>
            <w:tcW w:w="2420" w:type="dxa"/>
            <w:tcBorders>
              <w:top w:val="single" w:sz="4" w:space="0" w:color="7E7E7E"/>
              <w:left w:val="single" w:sz="4" w:space="0" w:color="7E7E7E"/>
              <w:bottom w:val="single" w:sz="4" w:space="0" w:color="7E7E7E"/>
              <w:right w:val="single" w:sz="4" w:space="0" w:color="7E7E7E"/>
            </w:tcBorders>
          </w:tcPr>
          <w:p w14:paraId="04DAE5F6" w14:textId="77777777" w:rsidR="000E2E95" w:rsidRPr="005669CE" w:rsidRDefault="00DB0A1C" w:rsidP="00CE74C2">
            <w:pPr>
              <w:pStyle w:val="TableParagraph"/>
              <w:spacing w:before="13"/>
              <w:ind w:left="12"/>
              <w:jc w:val="both"/>
              <w:rPr>
                <w:b/>
              </w:rPr>
            </w:pPr>
            <w:r w:rsidRPr="005669CE">
              <w:rPr>
                <w:b/>
                <w:bCs/>
                <w:lang w:val="fr-FR"/>
              </w:rPr>
              <w:t>Valeur saisie</w:t>
            </w:r>
          </w:p>
        </w:tc>
      </w:tr>
      <w:tr w:rsidR="000C10E3" w14:paraId="55787889" w14:textId="77777777">
        <w:trPr>
          <w:trHeight w:val="465"/>
        </w:trPr>
        <w:tc>
          <w:tcPr>
            <w:tcW w:w="706" w:type="dxa"/>
          </w:tcPr>
          <w:p w14:paraId="1D6C0DEB" w14:textId="77777777" w:rsidR="000E2E95" w:rsidRPr="005669CE" w:rsidRDefault="00DB0A1C" w:rsidP="00CE74C2">
            <w:pPr>
              <w:pStyle w:val="TableParagraph"/>
              <w:spacing w:before="95"/>
              <w:ind w:left="14"/>
              <w:jc w:val="both"/>
            </w:pPr>
            <w:r w:rsidRPr="005669CE">
              <w:rPr>
                <w:lang w:val="fr-FR"/>
              </w:rPr>
              <w:t>1</w:t>
            </w:r>
          </w:p>
        </w:tc>
        <w:tc>
          <w:tcPr>
            <w:tcW w:w="2701" w:type="dxa"/>
            <w:tcBorders>
              <w:top w:val="single" w:sz="4" w:space="0" w:color="7E7E7E"/>
              <w:bottom w:val="single" w:sz="4" w:space="0" w:color="7E7E7E"/>
              <w:right w:val="single" w:sz="4" w:space="0" w:color="7E7E7E"/>
            </w:tcBorders>
          </w:tcPr>
          <w:p w14:paraId="555EBC1F" w14:textId="77777777" w:rsidR="000E2E95" w:rsidRPr="005669CE" w:rsidRDefault="00DB0A1C" w:rsidP="00CE74C2">
            <w:pPr>
              <w:pStyle w:val="TableParagraph"/>
              <w:spacing w:before="95"/>
              <w:ind w:left="13"/>
              <w:jc w:val="both"/>
              <w:rPr>
                <w:b/>
              </w:rPr>
            </w:pPr>
            <w:proofErr w:type="spellStart"/>
            <w:proofErr w:type="gramStart"/>
            <w:r w:rsidRPr="005669CE">
              <w:rPr>
                <w:b/>
                <w:bCs/>
                <w:spacing w:val="-2"/>
                <w:lang w:val="fr-FR"/>
              </w:rPr>
              <w:t>w</w:t>
            </w:r>
            <w:proofErr w:type="gramEnd"/>
            <w:r w:rsidRPr="005669CE">
              <w:rPr>
                <w:b/>
                <w:bCs/>
                <w:spacing w:val="-2"/>
                <w:lang w:val="fr-FR"/>
              </w:rPr>
              <w:t>_survey_date</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2E63E39B" w14:textId="77777777" w:rsidR="000E2E95" w:rsidRPr="005669CE" w:rsidRDefault="00DB0A1C" w:rsidP="00CE74C2">
            <w:pPr>
              <w:pStyle w:val="TableParagraph"/>
              <w:spacing w:before="95"/>
              <w:ind w:left="13"/>
              <w:jc w:val="both"/>
            </w:pPr>
            <w:r w:rsidRPr="005669CE">
              <w:rPr>
                <w:lang w:val="fr-FR"/>
              </w:rPr>
              <w:t>Date de l’enquête</w:t>
            </w:r>
          </w:p>
        </w:tc>
        <w:tc>
          <w:tcPr>
            <w:tcW w:w="2420" w:type="dxa"/>
            <w:tcBorders>
              <w:top w:val="single" w:sz="4" w:space="0" w:color="7E7E7E"/>
              <w:left w:val="single" w:sz="4" w:space="0" w:color="7E7E7E"/>
              <w:bottom w:val="single" w:sz="4" w:space="0" w:color="7E7E7E"/>
              <w:right w:val="single" w:sz="4" w:space="0" w:color="7E7E7E"/>
            </w:tcBorders>
          </w:tcPr>
          <w:p w14:paraId="491F6BD4" w14:textId="77777777" w:rsidR="000E2E95" w:rsidRPr="005669CE" w:rsidRDefault="00DB0A1C" w:rsidP="00CE74C2">
            <w:pPr>
              <w:pStyle w:val="TableParagraph"/>
              <w:spacing w:before="16"/>
              <w:ind w:left="12"/>
              <w:jc w:val="both"/>
            </w:pPr>
            <w:r w:rsidRPr="005669CE">
              <w:rPr>
                <w:lang w:val="fr-FR"/>
              </w:rPr>
              <w:t>Saisie automatiquement</w:t>
            </w:r>
          </w:p>
        </w:tc>
      </w:tr>
      <w:tr w:rsidR="000C10E3" w14:paraId="0BD59E45" w14:textId="77777777">
        <w:trPr>
          <w:trHeight w:val="465"/>
        </w:trPr>
        <w:tc>
          <w:tcPr>
            <w:tcW w:w="706" w:type="dxa"/>
          </w:tcPr>
          <w:p w14:paraId="09B4F56B" w14:textId="77777777" w:rsidR="000E2E95" w:rsidRPr="005669CE" w:rsidRDefault="00DB0A1C" w:rsidP="00CE74C2">
            <w:pPr>
              <w:pStyle w:val="TableParagraph"/>
              <w:spacing w:before="95"/>
              <w:ind w:left="14"/>
              <w:jc w:val="both"/>
            </w:pPr>
            <w:r w:rsidRPr="005669CE">
              <w:rPr>
                <w:lang w:val="fr-FR"/>
              </w:rPr>
              <w:t>2</w:t>
            </w:r>
          </w:p>
        </w:tc>
        <w:tc>
          <w:tcPr>
            <w:tcW w:w="2701" w:type="dxa"/>
            <w:tcBorders>
              <w:top w:val="single" w:sz="4" w:space="0" w:color="7E7E7E"/>
              <w:bottom w:val="single" w:sz="4" w:space="0" w:color="7E7E7E"/>
              <w:right w:val="single" w:sz="4" w:space="0" w:color="7E7E7E"/>
            </w:tcBorders>
          </w:tcPr>
          <w:p w14:paraId="7E37AE95" w14:textId="77777777" w:rsidR="000E2E95" w:rsidRPr="005669CE" w:rsidRDefault="00DB0A1C" w:rsidP="00CE74C2">
            <w:pPr>
              <w:pStyle w:val="TableParagraph"/>
              <w:spacing w:before="95"/>
              <w:ind w:left="13"/>
              <w:jc w:val="both"/>
              <w:rPr>
                <w:b/>
              </w:rPr>
            </w:pPr>
            <w:proofErr w:type="spellStart"/>
            <w:proofErr w:type="gramStart"/>
            <w:r w:rsidRPr="005669CE">
              <w:rPr>
                <w:b/>
                <w:bCs/>
                <w:spacing w:val="-2"/>
                <w:lang w:val="fr-FR"/>
              </w:rPr>
              <w:t>w</w:t>
            </w:r>
            <w:proofErr w:type="gramEnd"/>
            <w:r w:rsidRPr="005669CE">
              <w:rPr>
                <w:b/>
                <w:bCs/>
                <w:spacing w:val="-2"/>
                <w:lang w:val="fr-FR"/>
              </w:rPr>
              <w:t>_recorder_id</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39318A7B" w14:textId="77777777" w:rsidR="000E2E95" w:rsidRPr="005669CE" w:rsidRDefault="00DB0A1C" w:rsidP="00CE74C2">
            <w:pPr>
              <w:pStyle w:val="TableParagraph"/>
              <w:spacing w:before="95"/>
              <w:ind w:left="13"/>
              <w:jc w:val="both"/>
            </w:pPr>
            <w:r w:rsidRPr="005669CE">
              <w:rPr>
                <w:lang w:val="fr-FR"/>
              </w:rPr>
              <w:t>ID de l’enregistreur</w:t>
            </w:r>
          </w:p>
        </w:tc>
        <w:tc>
          <w:tcPr>
            <w:tcW w:w="2420" w:type="dxa"/>
            <w:tcBorders>
              <w:top w:val="single" w:sz="4" w:space="0" w:color="7E7E7E"/>
              <w:left w:val="single" w:sz="4" w:space="0" w:color="7E7E7E"/>
              <w:bottom w:val="single" w:sz="4" w:space="0" w:color="7E7E7E"/>
              <w:right w:val="single" w:sz="4" w:space="0" w:color="7E7E7E"/>
            </w:tcBorders>
          </w:tcPr>
          <w:p w14:paraId="3C9A705E" w14:textId="77777777" w:rsidR="000E2E95" w:rsidRPr="005669CE" w:rsidRDefault="00DB0A1C" w:rsidP="00CE74C2">
            <w:pPr>
              <w:pStyle w:val="TableParagraph"/>
              <w:spacing w:before="16"/>
              <w:ind w:left="12"/>
              <w:jc w:val="both"/>
            </w:pPr>
            <w:r w:rsidRPr="005669CE">
              <w:rPr>
                <w:lang w:val="fr-FR"/>
              </w:rPr>
              <w:t>A partir d’une liste préremplie</w:t>
            </w:r>
          </w:p>
        </w:tc>
      </w:tr>
      <w:tr w:rsidR="000C10E3" w14:paraId="2D64DB61" w14:textId="77777777">
        <w:trPr>
          <w:trHeight w:val="465"/>
        </w:trPr>
        <w:tc>
          <w:tcPr>
            <w:tcW w:w="706" w:type="dxa"/>
          </w:tcPr>
          <w:p w14:paraId="1D25618F" w14:textId="77777777" w:rsidR="000E2E95" w:rsidRPr="005669CE" w:rsidRDefault="00DB0A1C" w:rsidP="00CE74C2">
            <w:pPr>
              <w:pStyle w:val="TableParagraph"/>
              <w:spacing w:before="95"/>
              <w:ind w:left="14"/>
              <w:jc w:val="both"/>
            </w:pPr>
            <w:r w:rsidRPr="005669CE">
              <w:rPr>
                <w:lang w:val="fr-FR"/>
              </w:rPr>
              <w:t>3</w:t>
            </w:r>
          </w:p>
        </w:tc>
        <w:tc>
          <w:tcPr>
            <w:tcW w:w="2701" w:type="dxa"/>
            <w:tcBorders>
              <w:top w:val="single" w:sz="4" w:space="0" w:color="7E7E7E"/>
              <w:bottom w:val="single" w:sz="4" w:space="0" w:color="7E7E7E"/>
              <w:right w:val="single" w:sz="4" w:space="0" w:color="7E7E7E"/>
            </w:tcBorders>
          </w:tcPr>
          <w:p w14:paraId="3E1C7009" w14:textId="77777777" w:rsidR="000E2E95" w:rsidRPr="005669CE" w:rsidRDefault="00DB0A1C" w:rsidP="00CE74C2">
            <w:pPr>
              <w:pStyle w:val="TableParagraph"/>
              <w:spacing w:before="95"/>
              <w:ind w:left="13"/>
              <w:jc w:val="both"/>
              <w:rPr>
                <w:b/>
              </w:rPr>
            </w:pPr>
            <w:proofErr w:type="spellStart"/>
            <w:proofErr w:type="gramStart"/>
            <w:r w:rsidRPr="005669CE">
              <w:rPr>
                <w:b/>
                <w:bCs/>
                <w:spacing w:val="-2"/>
                <w:lang w:val="fr-FR"/>
              </w:rPr>
              <w:t>w</w:t>
            </w:r>
            <w:proofErr w:type="gramEnd"/>
            <w:r w:rsidRPr="005669CE">
              <w:rPr>
                <w:b/>
                <w:bCs/>
                <w:spacing w:val="-2"/>
                <w:lang w:val="fr-FR"/>
              </w:rPr>
              <w:t>_district</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6402CEE0" w14:textId="77777777" w:rsidR="000E2E95" w:rsidRPr="005669CE" w:rsidRDefault="00DB0A1C" w:rsidP="00CE74C2">
            <w:pPr>
              <w:pStyle w:val="TableParagraph"/>
              <w:spacing w:before="95"/>
              <w:ind w:left="13"/>
              <w:jc w:val="both"/>
            </w:pPr>
            <w:r w:rsidRPr="005669CE">
              <w:rPr>
                <w:lang w:val="fr-FR"/>
              </w:rPr>
              <w:t>Sélectionner le comté</w:t>
            </w:r>
          </w:p>
        </w:tc>
        <w:tc>
          <w:tcPr>
            <w:tcW w:w="2420" w:type="dxa"/>
            <w:tcBorders>
              <w:top w:val="single" w:sz="4" w:space="0" w:color="7E7E7E"/>
              <w:left w:val="single" w:sz="4" w:space="0" w:color="7E7E7E"/>
              <w:bottom w:val="single" w:sz="4" w:space="0" w:color="7E7E7E"/>
              <w:right w:val="single" w:sz="4" w:space="0" w:color="7E7E7E"/>
            </w:tcBorders>
          </w:tcPr>
          <w:p w14:paraId="5AC75DC3" w14:textId="77777777" w:rsidR="000E2E95" w:rsidRPr="005669CE" w:rsidRDefault="00DB0A1C" w:rsidP="00CE74C2">
            <w:pPr>
              <w:pStyle w:val="TableParagraph"/>
              <w:spacing w:before="14"/>
              <w:ind w:left="12"/>
              <w:jc w:val="both"/>
            </w:pPr>
            <w:r w:rsidRPr="005669CE">
              <w:rPr>
                <w:lang w:val="fr-FR"/>
              </w:rPr>
              <w:t>A partir d’une liste préremplie</w:t>
            </w:r>
          </w:p>
        </w:tc>
      </w:tr>
      <w:tr w:rsidR="000C10E3" w14:paraId="51BA1177" w14:textId="77777777">
        <w:trPr>
          <w:trHeight w:val="465"/>
        </w:trPr>
        <w:tc>
          <w:tcPr>
            <w:tcW w:w="706" w:type="dxa"/>
          </w:tcPr>
          <w:p w14:paraId="1140F467" w14:textId="77777777" w:rsidR="000E2E95" w:rsidRPr="005669CE" w:rsidRDefault="00DB0A1C" w:rsidP="00CE74C2">
            <w:pPr>
              <w:pStyle w:val="TableParagraph"/>
              <w:spacing w:before="95"/>
              <w:ind w:left="14"/>
              <w:jc w:val="both"/>
            </w:pPr>
            <w:r w:rsidRPr="005669CE">
              <w:rPr>
                <w:lang w:val="fr-FR"/>
              </w:rPr>
              <w:t>4</w:t>
            </w:r>
          </w:p>
        </w:tc>
        <w:tc>
          <w:tcPr>
            <w:tcW w:w="2701" w:type="dxa"/>
            <w:tcBorders>
              <w:top w:val="single" w:sz="4" w:space="0" w:color="7E7E7E"/>
              <w:bottom w:val="single" w:sz="4" w:space="0" w:color="7E7E7E"/>
              <w:right w:val="single" w:sz="4" w:space="0" w:color="7E7E7E"/>
            </w:tcBorders>
          </w:tcPr>
          <w:p w14:paraId="03ECD6EF" w14:textId="77777777" w:rsidR="000E2E95" w:rsidRPr="005669CE" w:rsidRDefault="00DB0A1C" w:rsidP="00CE74C2">
            <w:pPr>
              <w:pStyle w:val="TableParagraph"/>
              <w:spacing w:before="95"/>
              <w:ind w:left="13"/>
              <w:jc w:val="both"/>
              <w:rPr>
                <w:b/>
              </w:rPr>
            </w:pPr>
            <w:proofErr w:type="spellStart"/>
            <w:proofErr w:type="gramStart"/>
            <w:r w:rsidRPr="005669CE">
              <w:rPr>
                <w:b/>
                <w:bCs/>
                <w:spacing w:val="-2"/>
                <w:lang w:val="fr-FR"/>
              </w:rPr>
              <w:t>w</w:t>
            </w:r>
            <w:proofErr w:type="gramEnd"/>
            <w:r w:rsidRPr="005669CE">
              <w:rPr>
                <w:b/>
                <w:bCs/>
                <w:spacing w:val="-2"/>
                <w:lang w:val="fr-FR"/>
              </w:rPr>
              <w:t>_sub</w:t>
            </w:r>
            <w:proofErr w:type="spellEnd"/>
            <w:r w:rsidRPr="005669CE">
              <w:rPr>
                <w:b/>
                <w:bCs/>
                <w:spacing w:val="-2"/>
                <w:lang w:val="fr-FR"/>
              </w:rPr>
              <w:t>-district</w:t>
            </w:r>
          </w:p>
        </w:tc>
        <w:tc>
          <w:tcPr>
            <w:tcW w:w="3536" w:type="dxa"/>
            <w:tcBorders>
              <w:top w:val="single" w:sz="4" w:space="0" w:color="7E7E7E"/>
              <w:left w:val="single" w:sz="4" w:space="0" w:color="7E7E7E"/>
              <w:bottom w:val="single" w:sz="4" w:space="0" w:color="7E7E7E"/>
              <w:right w:val="single" w:sz="4" w:space="0" w:color="7E7E7E"/>
            </w:tcBorders>
          </w:tcPr>
          <w:p w14:paraId="2FFE3530" w14:textId="77777777" w:rsidR="000E2E95" w:rsidRPr="005669CE" w:rsidRDefault="00DB0A1C" w:rsidP="00CE74C2">
            <w:pPr>
              <w:pStyle w:val="TableParagraph"/>
              <w:spacing w:before="95"/>
              <w:ind w:left="13"/>
              <w:jc w:val="both"/>
            </w:pPr>
            <w:r w:rsidRPr="005669CE">
              <w:rPr>
                <w:lang w:val="fr-FR"/>
              </w:rPr>
              <w:t>Sélectionner le sous-district</w:t>
            </w:r>
          </w:p>
        </w:tc>
        <w:tc>
          <w:tcPr>
            <w:tcW w:w="2420" w:type="dxa"/>
            <w:tcBorders>
              <w:top w:val="single" w:sz="4" w:space="0" w:color="7E7E7E"/>
              <w:left w:val="single" w:sz="4" w:space="0" w:color="7E7E7E"/>
              <w:bottom w:val="single" w:sz="4" w:space="0" w:color="7E7E7E"/>
              <w:right w:val="single" w:sz="4" w:space="0" w:color="7E7E7E"/>
            </w:tcBorders>
          </w:tcPr>
          <w:p w14:paraId="464B4C47" w14:textId="77777777" w:rsidR="000E2E95" w:rsidRPr="005669CE" w:rsidRDefault="00DB0A1C" w:rsidP="00CE74C2">
            <w:pPr>
              <w:pStyle w:val="TableParagraph"/>
              <w:spacing w:before="13"/>
              <w:ind w:left="12"/>
              <w:jc w:val="both"/>
            </w:pPr>
            <w:r w:rsidRPr="005669CE">
              <w:rPr>
                <w:lang w:val="fr-FR"/>
              </w:rPr>
              <w:t>A partir d’une liste préremplie</w:t>
            </w:r>
          </w:p>
        </w:tc>
      </w:tr>
      <w:tr w:rsidR="000C10E3" w14:paraId="6C0A2B2D" w14:textId="77777777">
        <w:trPr>
          <w:trHeight w:val="465"/>
        </w:trPr>
        <w:tc>
          <w:tcPr>
            <w:tcW w:w="706" w:type="dxa"/>
          </w:tcPr>
          <w:p w14:paraId="6A3CDB9E" w14:textId="77777777" w:rsidR="000E2E95" w:rsidRPr="005669CE" w:rsidRDefault="00DB0A1C" w:rsidP="00CE74C2">
            <w:pPr>
              <w:pStyle w:val="TableParagraph"/>
              <w:spacing w:before="92"/>
              <w:ind w:left="14"/>
              <w:jc w:val="both"/>
            </w:pPr>
            <w:r w:rsidRPr="005669CE">
              <w:rPr>
                <w:lang w:val="fr-FR"/>
              </w:rPr>
              <w:t>5</w:t>
            </w:r>
          </w:p>
        </w:tc>
        <w:tc>
          <w:tcPr>
            <w:tcW w:w="2701" w:type="dxa"/>
            <w:tcBorders>
              <w:top w:val="single" w:sz="4" w:space="0" w:color="7E7E7E"/>
              <w:bottom w:val="single" w:sz="4" w:space="0" w:color="7E7E7E"/>
              <w:right w:val="single" w:sz="4" w:space="0" w:color="7E7E7E"/>
            </w:tcBorders>
          </w:tcPr>
          <w:p w14:paraId="3BC230FD" w14:textId="77777777" w:rsidR="000E2E95" w:rsidRPr="005669CE" w:rsidRDefault="00DB0A1C" w:rsidP="00CE74C2">
            <w:pPr>
              <w:pStyle w:val="TableParagraph"/>
              <w:spacing w:before="92"/>
              <w:ind w:left="13"/>
              <w:jc w:val="both"/>
              <w:rPr>
                <w:b/>
              </w:rPr>
            </w:pPr>
            <w:proofErr w:type="spellStart"/>
            <w:proofErr w:type="gramStart"/>
            <w:r w:rsidRPr="005669CE">
              <w:rPr>
                <w:b/>
                <w:bCs/>
                <w:spacing w:val="-2"/>
                <w:lang w:val="fr-FR"/>
              </w:rPr>
              <w:t>w</w:t>
            </w:r>
            <w:proofErr w:type="gramEnd"/>
            <w:r w:rsidRPr="005669CE">
              <w:rPr>
                <w:b/>
                <w:bCs/>
                <w:spacing w:val="-2"/>
                <w:lang w:val="fr-FR"/>
              </w:rPr>
              <w:t>_school_name</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23DE25AA" w14:textId="77777777" w:rsidR="000E2E95" w:rsidRPr="005669CE" w:rsidRDefault="00DB0A1C" w:rsidP="00CE74C2">
            <w:pPr>
              <w:pStyle w:val="TableParagraph"/>
              <w:spacing w:before="92"/>
              <w:ind w:left="13"/>
              <w:jc w:val="both"/>
            </w:pPr>
            <w:r w:rsidRPr="005669CE">
              <w:rPr>
                <w:lang w:val="fr-FR"/>
              </w:rPr>
              <w:t>Sélectionner le nom de l’école</w:t>
            </w:r>
          </w:p>
        </w:tc>
        <w:tc>
          <w:tcPr>
            <w:tcW w:w="2420" w:type="dxa"/>
            <w:tcBorders>
              <w:top w:val="single" w:sz="4" w:space="0" w:color="7E7E7E"/>
              <w:left w:val="single" w:sz="4" w:space="0" w:color="7E7E7E"/>
              <w:bottom w:val="single" w:sz="4" w:space="0" w:color="7E7E7E"/>
              <w:right w:val="single" w:sz="4" w:space="0" w:color="7E7E7E"/>
            </w:tcBorders>
          </w:tcPr>
          <w:p w14:paraId="1C57B6BD" w14:textId="77777777" w:rsidR="000E2E95" w:rsidRPr="005669CE" w:rsidRDefault="00DB0A1C" w:rsidP="00CE74C2">
            <w:pPr>
              <w:pStyle w:val="TableParagraph"/>
              <w:spacing w:before="13"/>
              <w:ind w:left="12"/>
              <w:jc w:val="both"/>
            </w:pPr>
            <w:r w:rsidRPr="005669CE">
              <w:rPr>
                <w:lang w:val="fr-FR"/>
              </w:rPr>
              <w:t>A partir d’une liste préremplie</w:t>
            </w:r>
          </w:p>
        </w:tc>
      </w:tr>
      <w:tr w:rsidR="000C10E3" w14:paraId="5D9FAE9D" w14:textId="77777777">
        <w:trPr>
          <w:trHeight w:val="462"/>
        </w:trPr>
        <w:tc>
          <w:tcPr>
            <w:tcW w:w="706" w:type="dxa"/>
          </w:tcPr>
          <w:p w14:paraId="5D27583B" w14:textId="77777777" w:rsidR="000E2E95" w:rsidRPr="005669CE" w:rsidRDefault="00DB0A1C" w:rsidP="00CE74C2">
            <w:pPr>
              <w:pStyle w:val="TableParagraph"/>
              <w:spacing w:before="92"/>
              <w:ind w:left="14"/>
              <w:jc w:val="both"/>
            </w:pPr>
            <w:r w:rsidRPr="005669CE">
              <w:rPr>
                <w:lang w:val="fr-FR"/>
              </w:rPr>
              <w:t>6</w:t>
            </w:r>
          </w:p>
        </w:tc>
        <w:tc>
          <w:tcPr>
            <w:tcW w:w="2701" w:type="dxa"/>
            <w:tcBorders>
              <w:top w:val="single" w:sz="4" w:space="0" w:color="7E7E7E"/>
              <w:bottom w:val="single" w:sz="4" w:space="0" w:color="7E7E7E"/>
              <w:right w:val="single" w:sz="4" w:space="0" w:color="7E7E7E"/>
            </w:tcBorders>
          </w:tcPr>
          <w:p w14:paraId="4970A514" w14:textId="77777777" w:rsidR="000E2E95" w:rsidRPr="005669CE" w:rsidRDefault="00DB0A1C" w:rsidP="00CE74C2">
            <w:pPr>
              <w:pStyle w:val="TableParagraph"/>
              <w:spacing w:before="92"/>
              <w:ind w:left="13"/>
              <w:jc w:val="both"/>
              <w:rPr>
                <w:b/>
              </w:rPr>
            </w:pPr>
            <w:proofErr w:type="spellStart"/>
            <w:proofErr w:type="gramStart"/>
            <w:r w:rsidRPr="005669CE">
              <w:rPr>
                <w:b/>
                <w:bCs/>
                <w:spacing w:val="-2"/>
                <w:lang w:val="fr-FR"/>
              </w:rPr>
              <w:t>w</w:t>
            </w:r>
            <w:proofErr w:type="gramEnd"/>
            <w:r w:rsidRPr="005669CE">
              <w:rPr>
                <w:b/>
                <w:bCs/>
                <w:spacing w:val="-2"/>
                <w:lang w:val="fr-FR"/>
              </w:rPr>
              <w:t>_school_community</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0179BB59" w14:textId="77777777" w:rsidR="000E2E95" w:rsidRPr="005669CE" w:rsidRDefault="00DB0A1C" w:rsidP="00CE74C2">
            <w:pPr>
              <w:pStyle w:val="TableParagraph"/>
              <w:spacing w:before="92"/>
              <w:ind w:left="13"/>
              <w:jc w:val="both"/>
            </w:pPr>
            <w:r w:rsidRPr="005669CE">
              <w:rPr>
                <w:lang w:val="fr-FR"/>
              </w:rPr>
              <w:t>L’école communautaire se trouve dans</w:t>
            </w:r>
          </w:p>
        </w:tc>
        <w:tc>
          <w:tcPr>
            <w:tcW w:w="2420" w:type="dxa"/>
            <w:tcBorders>
              <w:top w:val="single" w:sz="4" w:space="0" w:color="7E7E7E"/>
              <w:left w:val="single" w:sz="4" w:space="0" w:color="7E7E7E"/>
              <w:bottom w:val="single" w:sz="4" w:space="0" w:color="7E7E7E"/>
              <w:right w:val="single" w:sz="4" w:space="0" w:color="7E7E7E"/>
            </w:tcBorders>
          </w:tcPr>
          <w:p w14:paraId="3614F8F5" w14:textId="77777777" w:rsidR="000E2E95" w:rsidRPr="005669CE" w:rsidRDefault="00DB0A1C" w:rsidP="00CE74C2">
            <w:pPr>
              <w:pStyle w:val="TableParagraph"/>
              <w:spacing w:before="13"/>
              <w:ind w:left="12"/>
              <w:jc w:val="both"/>
            </w:pPr>
            <w:r w:rsidRPr="005669CE">
              <w:rPr>
                <w:lang w:val="fr-FR"/>
              </w:rPr>
              <w:t>Champ de texte libre</w:t>
            </w:r>
          </w:p>
        </w:tc>
      </w:tr>
      <w:tr w:rsidR="000C10E3" w14:paraId="21DCBC3A" w14:textId="77777777">
        <w:trPr>
          <w:trHeight w:val="465"/>
        </w:trPr>
        <w:tc>
          <w:tcPr>
            <w:tcW w:w="706" w:type="dxa"/>
          </w:tcPr>
          <w:p w14:paraId="51FA99A5" w14:textId="77777777" w:rsidR="000E2E95" w:rsidRPr="005669CE" w:rsidRDefault="00DB0A1C" w:rsidP="00CE74C2">
            <w:pPr>
              <w:pStyle w:val="TableParagraph"/>
              <w:spacing w:before="95"/>
              <w:ind w:left="14"/>
              <w:jc w:val="both"/>
            </w:pPr>
            <w:r w:rsidRPr="005669CE">
              <w:rPr>
                <w:lang w:val="fr-FR"/>
              </w:rPr>
              <w:t>6</w:t>
            </w:r>
          </w:p>
        </w:tc>
        <w:tc>
          <w:tcPr>
            <w:tcW w:w="2701" w:type="dxa"/>
            <w:tcBorders>
              <w:top w:val="single" w:sz="4" w:space="0" w:color="7E7E7E"/>
              <w:bottom w:val="single" w:sz="4" w:space="0" w:color="7E7E7E"/>
              <w:right w:val="single" w:sz="4" w:space="0" w:color="7E7E7E"/>
            </w:tcBorders>
          </w:tcPr>
          <w:p w14:paraId="15E53C44" w14:textId="77777777" w:rsidR="000E2E95" w:rsidRPr="005669CE" w:rsidRDefault="00DB0A1C" w:rsidP="00CE74C2">
            <w:pPr>
              <w:pStyle w:val="TableParagraph"/>
              <w:spacing w:before="95"/>
              <w:ind w:left="13"/>
              <w:jc w:val="both"/>
              <w:rPr>
                <w:b/>
              </w:rPr>
            </w:pPr>
            <w:proofErr w:type="spellStart"/>
            <w:proofErr w:type="gramStart"/>
            <w:r w:rsidRPr="005669CE">
              <w:rPr>
                <w:b/>
                <w:bCs/>
                <w:spacing w:val="-2"/>
                <w:lang w:val="fr-FR"/>
              </w:rPr>
              <w:t>w</w:t>
            </w:r>
            <w:proofErr w:type="gramEnd"/>
            <w:r w:rsidRPr="005669CE">
              <w:rPr>
                <w:b/>
                <w:bCs/>
                <w:spacing w:val="-2"/>
                <w:lang w:val="fr-FR"/>
              </w:rPr>
              <w:t>_gps</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1645B0B5" w14:textId="77777777" w:rsidR="000E2E95" w:rsidRPr="005669CE" w:rsidRDefault="00DB0A1C" w:rsidP="00CE74C2">
            <w:pPr>
              <w:pStyle w:val="TableParagraph"/>
              <w:spacing w:before="95"/>
              <w:ind w:left="13"/>
              <w:jc w:val="both"/>
            </w:pPr>
            <w:r w:rsidRPr="005669CE">
              <w:rPr>
                <w:lang w:val="fr-FR"/>
              </w:rPr>
              <w:t>Collecter les coordonnées GPS</w:t>
            </w:r>
          </w:p>
        </w:tc>
        <w:tc>
          <w:tcPr>
            <w:tcW w:w="2420" w:type="dxa"/>
            <w:tcBorders>
              <w:top w:val="single" w:sz="4" w:space="0" w:color="7E7E7E"/>
              <w:left w:val="single" w:sz="4" w:space="0" w:color="7E7E7E"/>
              <w:bottom w:val="single" w:sz="4" w:space="0" w:color="7E7E7E"/>
              <w:right w:val="single" w:sz="4" w:space="0" w:color="7E7E7E"/>
            </w:tcBorders>
          </w:tcPr>
          <w:p w14:paraId="0A98C57B" w14:textId="77777777" w:rsidR="000E2E95" w:rsidRPr="005669CE" w:rsidRDefault="00DB0A1C" w:rsidP="00CE74C2">
            <w:pPr>
              <w:pStyle w:val="TableParagraph"/>
              <w:spacing w:before="16"/>
              <w:ind w:left="12"/>
              <w:jc w:val="both"/>
            </w:pPr>
            <w:r w:rsidRPr="005669CE">
              <w:rPr>
                <w:lang w:val="fr-FR"/>
              </w:rPr>
              <w:t>Saisie automatiquement</w:t>
            </w:r>
          </w:p>
        </w:tc>
      </w:tr>
      <w:tr w:rsidR="000C10E3" w14:paraId="31766D83" w14:textId="77777777">
        <w:trPr>
          <w:trHeight w:val="465"/>
        </w:trPr>
        <w:tc>
          <w:tcPr>
            <w:tcW w:w="706" w:type="dxa"/>
          </w:tcPr>
          <w:p w14:paraId="2C2DCDEB" w14:textId="77777777" w:rsidR="000E2E95" w:rsidRPr="005669CE" w:rsidRDefault="00DB0A1C" w:rsidP="00CE74C2">
            <w:pPr>
              <w:pStyle w:val="TableParagraph"/>
              <w:spacing w:before="95"/>
              <w:ind w:left="14"/>
              <w:jc w:val="both"/>
            </w:pPr>
            <w:r w:rsidRPr="005669CE">
              <w:rPr>
                <w:lang w:val="fr-FR"/>
              </w:rPr>
              <w:t>7</w:t>
            </w:r>
          </w:p>
        </w:tc>
        <w:tc>
          <w:tcPr>
            <w:tcW w:w="2701" w:type="dxa"/>
            <w:tcBorders>
              <w:top w:val="single" w:sz="4" w:space="0" w:color="7E7E7E"/>
              <w:bottom w:val="single" w:sz="4" w:space="0" w:color="7E7E7E"/>
              <w:right w:val="single" w:sz="4" w:space="0" w:color="7E7E7E"/>
            </w:tcBorders>
          </w:tcPr>
          <w:p w14:paraId="744189D5" w14:textId="77777777" w:rsidR="000E2E95" w:rsidRPr="005669CE" w:rsidRDefault="00DB0A1C" w:rsidP="00CE74C2">
            <w:pPr>
              <w:pStyle w:val="TableParagraph"/>
              <w:spacing w:before="95"/>
              <w:ind w:left="13"/>
              <w:jc w:val="both"/>
              <w:rPr>
                <w:b/>
              </w:rPr>
            </w:pPr>
            <w:proofErr w:type="spellStart"/>
            <w:proofErr w:type="gramStart"/>
            <w:r w:rsidRPr="005669CE">
              <w:rPr>
                <w:b/>
                <w:bCs/>
                <w:spacing w:val="-2"/>
                <w:lang w:val="fr-FR"/>
              </w:rPr>
              <w:t>w</w:t>
            </w:r>
            <w:proofErr w:type="gramEnd"/>
            <w:r w:rsidRPr="005669CE">
              <w:rPr>
                <w:b/>
                <w:bCs/>
                <w:spacing w:val="-2"/>
                <w:lang w:val="fr-FR"/>
              </w:rPr>
              <w:t>_headteacher</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1151ABF0" w14:textId="77777777" w:rsidR="000E2E95" w:rsidRPr="005669CE" w:rsidRDefault="00DB0A1C" w:rsidP="00CE74C2">
            <w:pPr>
              <w:pStyle w:val="TableParagraph"/>
              <w:spacing w:before="95"/>
              <w:ind w:left="13"/>
              <w:jc w:val="both"/>
            </w:pPr>
            <w:r w:rsidRPr="005669CE">
              <w:rPr>
                <w:lang w:val="fr-FR"/>
              </w:rPr>
              <w:t>Nom du responsable d’établissement</w:t>
            </w:r>
          </w:p>
        </w:tc>
        <w:tc>
          <w:tcPr>
            <w:tcW w:w="2420" w:type="dxa"/>
            <w:tcBorders>
              <w:top w:val="single" w:sz="4" w:space="0" w:color="7E7E7E"/>
              <w:left w:val="single" w:sz="4" w:space="0" w:color="7E7E7E"/>
              <w:bottom w:val="single" w:sz="4" w:space="0" w:color="7E7E7E"/>
              <w:right w:val="single" w:sz="4" w:space="0" w:color="7E7E7E"/>
            </w:tcBorders>
          </w:tcPr>
          <w:p w14:paraId="053DDDE6" w14:textId="77777777" w:rsidR="000E2E95" w:rsidRPr="005669CE" w:rsidRDefault="00DB0A1C" w:rsidP="00CE74C2">
            <w:pPr>
              <w:pStyle w:val="TableParagraph"/>
              <w:spacing w:before="16"/>
              <w:ind w:left="12"/>
              <w:jc w:val="both"/>
            </w:pPr>
            <w:r w:rsidRPr="005669CE">
              <w:rPr>
                <w:lang w:val="fr-FR"/>
              </w:rPr>
              <w:t>Champ de texte libre</w:t>
            </w:r>
          </w:p>
        </w:tc>
      </w:tr>
      <w:tr w:rsidR="000C10E3" w14:paraId="6FEA838C" w14:textId="77777777">
        <w:trPr>
          <w:trHeight w:val="465"/>
        </w:trPr>
        <w:tc>
          <w:tcPr>
            <w:tcW w:w="706" w:type="dxa"/>
          </w:tcPr>
          <w:p w14:paraId="275413D5" w14:textId="77777777" w:rsidR="000E2E95" w:rsidRPr="005669CE" w:rsidRDefault="00DB0A1C" w:rsidP="00CE74C2">
            <w:pPr>
              <w:pStyle w:val="TableParagraph"/>
              <w:spacing w:before="95"/>
              <w:ind w:left="14"/>
              <w:jc w:val="both"/>
            </w:pPr>
            <w:r w:rsidRPr="005669CE">
              <w:rPr>
                <w:lang w:val="fr-FR"/>
              </w:rPr>
              <w:t>8</w:t>
            </w:r>
          </w:p>
        </w:tc>
        <w:tc>
          <w:tcPr>
            <w:tcW w:w="2701" w:type="dxa"/>
            <w:tcBorders>
              <w:top w:val="single" w:sz="4" w:space="0" w:color="7E7E7E"/>
              <w:bottom w:val="single" w:sz="4" w:space="0" w:color="7E7E7E"/>
              <w:right w:val="single" w:sz="4" w:space="0" w:color="7E7E7E"/>
            </w:tcBorders>
          </w:tcPr>
          <w:p w14:paraId="5F8992AA" w14:textId="77777777" w:rsidR="000E2E95" w:rsidRPr="005669CE" w:rsidRDefault="00DB0A1C" w:rsidP="00CE74C2">
            <w:pPr>
              <w:pStyle w:val="TableParagraph"/>
              <w:spacing w:before="95"/>
              <w:ind w:left="13"/>
              <w:jc w:val="both"/>
              <w:rPr>
                <w:b/>
              </w:rPr>
            </w:pPr>
            <w:proofErr w:type="spellStart"/>
            <w:proofErr w:type="gramStart"/>
            <w:r w:rsidRPr="005669CE">
              <w:rPr>
                <w:b/>
                <w:bCs/>
                <w:spacing w:val="-2"/>
                <w:lang w:val="fr-FR"/>
              </w:rPr>
              <w:t>w</w:t>
            </w:r>
            <w:proofErr w:type="gramEnd"/>
            <w:r w:rsidRPr="005669CE">
              <w:rPr>
                <w:b/>
                <w:bCs/>
                <w:spacing w:val="-2"/>
                <w:lang w:val="fr-FR"/>
              </w:rPr>
              <w:t>_headteacher_phone</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3BCC7E1E" w14:textId="77777777" w:rsidR="000E2E95" w:rsidRPr="005669CE" w:rsidRDefault="00DB0A1C" w:rsidP="00CE74C2">
            <w:pPr>
              <w:pStyle w:val="TableParagraph"/>
              <w:spacing w:before="95"/>
              <w:ind w:left="13"/>
              <w:jc w:val="both"/>
            </w:pPr>
            <w:r w:rsidRPr="005669CE">
              <w:rPr>
                <w:lang w:val="fr-FR"/>
              </w:rPr>
              <w:t>Numéro de contact du responsable d’établissement</w:t>
            </w:r>
          </w:p>
        </w:tc>
        <w:tc>
          <w:tcPr>
            <w:tcW w:w="2420" w:type="dxa"/>
            <w:tcBorders>
              <w:top w:val="single" w:sz="4" w:space="0" w:color="7E7E7E"/>
              <w:left w:val="single" w:sz="4" w:space="0" w:color="7E7E7E"/>
              <w:bottom w:val="single" w:sz="4" w:space="0" w:color="7E7E7E"/>
              <w:right w:val="single" w:sz="4" w:space="0" w:color="7E7E7E"/>
            </w:tcBorders>
          </w:tcPr>
          <w:p w14:paraId="2F0F1021" w14:textId="77777777" w:rsidR="000E2E95" w:rsidRPr="005669CE" w:rsidRDefault="00DB0A1C" w:rsidP="00CE74C2">
            <w:pPr>
              <w:pStyle w:val="TableParagraph"/>
              <w:spacing w:before="16"/>
              <w:ind w:left="12"/>
              <w:jc w:val="both"/>
            </w:pPr>
            <w:r w:rsidRPr="005669CE">
              <w:rPr>
                <w:lang w:val="fr-FR"/>
              </w:rPr>
              <w:t>Champ numérique</w:t>
            </w:r>
          </w:p>
        </w:tc>
      </w:tr>
      <w:tr w:rsidR="000C10E3" w14:paraId="4464E092" w14:textId="77777777">
        <w:trPr>
          <w:trHeight w:val="1895"/>
        </w:trPr>
        <w:tc>
          <w:tcPr>
            <w:tcW w:w="706" w:type="dxa"/>
          </w:tcPr>
          <w:p w14:paraId="12C58F98" w14:textId="77777777" w:rsidR="000E2E95" w:rsidRPr="005669CE" w:rsidRDefault="000E2E95" w:rsidP="00CE74C2">
            <w:pPr>
              <w:pStyle w:val="TableParagraph"/>
              <w:jc w:val="both"/>
              <w:rPr>
                <w:rFonts w:ascii="Calibri Light"/>
              </w:rPr>
            </w:pPr>
          </w:p>
          <w:p w14:paraId="402265E7" w14:textId="77777777" w:rsidR="000E2E95" w:rsidRPr="005669CE" w:rsidRDefault="000E2E95" w:rsidP="00CE74C2">
            <w:pPr>
              <w:pStyle w:val="TableParagraph"/>
              <w:jc w:val="both"/>
              <w:rPr>
                <w:rFonts w:ascii="Calibri Light"/>
              </w:rPr>
            </w:pPr>
          </w:p>
          <w:p w14:paraId="02AC24CA" w14:textId="77777777" w:rsidR="000E2E95" w:rsidRPr="005669CE" w:rsidRDefault="000E2E95" w:rsidP="00CE74C2">
            <w:pPr>
              <w:pStyle w:val="TableParagraph"/>
              <w:spacing w:before="14"/>
              <w:jc w:val="both"/>
              <w:rPr>
                <w:rFonts w:ascii="Calibri Light"/>
              </w:rPr>
            </w:pPr>
          </w:p>
          <w:p w14:paraId="210C1301" w14:textId="77777777" w:rsidR="000E2E95" w:rsidRPr="005669CE" w:rsidRDefault="00DB0A1C" w:rsidP="00CE74C2">
            <w:pPr>
              <w:pStyle w:val="TableParagraph"/>
              <w:ind w:left="14"/>
              <w:jc w:val="both"/>
            </w:pPr>
            <w:r w:rsidRPr="005669CE">
              <w:rPr>
                <w:lang w:val="fr-FR"/>
              </w:rPr>
              <w:t>9</w:t>
            </w:r>
          </w:p>
        </w:tc>
        <w:tc>
          <w:tcPr>
            <w:tcW w:w="2701" w:type="dxa"/>
            <w:tcBorders>
              <w:top w:val="single" w:sz="4" w:space="0" w:color="7E7E7E"/>
              <w:bottom w:val="single" w:sz="4" w:space="0" w:color="7E7E7E"/>
              <w:right w:val="single" w:sz="4" w:space="0" w:color="7E7E7E"/>
            </w:tcBorders>
          </w:tcPr>
          <w:p w14:paraId="6741DAFD" w14:textId="77777777" w:rsidR="000E2E95" w:rsidRPr="005669CE" w:rsidRDefault="000E2E95" w:rsidP="00CE74C2">
            <w:pPr>
              <w:pStyle w:val="TableParagraph"/>
              <w:jc w:val="both"/>
              <w:rPr>
                <w:rFonts w:ascii="Calibri Light"/>
              </w:rPr>
            </w:pPr>
          </w:p>
          <w:p w14:paraId="647B13A5" w14:textId="77777777" w:rsidR="000E2E95" w:rsidRPr="005669CE" w:rsidRDefault="000E2E95" w:rsidP="00CE74C2">
            <w:pPr>
              <w:pStyle w:val="TableParagraph"/>
              <w:jc w:val="both"/>
              <w:rPr>
                <w:rFonts w:ascii="Calibri Light"/>
              </w:rPr>
            </w:pPr>
          </w:p>
          <w:p w14:paraId="60AD84D2" w14:textId="77777777" w:rsidR="000E2E95" w:rsidRPr="005669CE" w:rsidRDefault="000E2E95" w:rsidP="00CE74C2">
            <w:pPr>
              <w:pStyle w:val="TableParagraph"/>
              <w:spacing w:before="14"/>
              <w:jc w:val="both"/>
              <w:rPr>
                <w:rFonts w:ascii="Calibri Light"/>
              </w:rPr>
            </w:pPr>
          </w:p>
          <w:p w14:paraId="7BCD4AFF" w14:textId="77777777" w:rsidR="000E2E95" w:rsidRPr="005669CE" w:rsidRDefault="00DB0A1C" w:rsidP="00CE74C2">
            <w:pPr>
              <w:pStyle w:val="TableParagraph"/>
              <w:ind w:left="13"/>
              <w:jc w:val="both"/>
              <w:rPr>
                <w:b/>
              </w:rPr>
            </w:pPr>
            <w:proofErr w:type="spellStart"/>
            <w:proofErr w:type="gramStart"/>
            <w:r w:rsidRPr="005669CE">
              <w:rPr>
                <w:b/>
                <w:bCs/>
                <w:spacing w:val="-2"/>
                <w:lang w:val="fr-FR"/>
              </w:rPr>
              <w:t>w</w:t>
            </w:r>
            <w:proofErr w:type="gramEnd"/>
            <w:r w:rsidRPr="005669CE">
              <w:rPr>
                <w:b/>
                <w:bCs/>
                <w:spacing w:val="-2"/>
                <w:lang w:val="fr-FR"/>
              </w:rPr>
              <w:t>_treatment</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0DC30942" w14:textId="77777777" w:rsidR="000E2E95" w:rsidRPr="005669CE" w:rsidRDefault="000E2E95" w:rsidP="00CE74C2">
            <w:pPr>
              <w:pStyle w:val="TableParagraph"/>
              <w:jc w:val="both"/>
              <w:rPr>
                <w:rFonts w:ascii="Calibri Light"/>
              </w:rPr>
            </w:pPr>
          </w:p>
          <w:p w14:paraId="0E46DCC1" w14:textId="77777777" w:rsidR="000E2E95" w:rsidRPr="005669CE" w:rsidRDefault="000E2E95" w:rsidP="00CE74C2">
            <w:pPr>
              <w:pStyle w:val="TableParagraph"/>
              <w:spacing w:before="14"/>
              <w:jc w:val="both"/>
              <w:rPr>
                <w:rFonts w:ascii="Calibri Light"/>
              </w:rPr>
            </w:pPr>
          </w:p>
          <w:p w14:paraId="4F8F9F4B" w14:textId="77777777" w:rsidR="000E2E95" w:rsidRPr="005669CE" w:rsidRDefault="00DB0A1C" w:rsidP="00CE74C2">
            <w:pPr>
              <w:pStyle w:val="TableParagraph"/>
              <w:ind w:left="13" w:right="55"/>
              <w:jc w:val="both"/>
            </w:pPr>
            <w:r w:rsidRPr="005669CE">
              <w:rPr>
                <w:lang w:val="fr-FR"/>
              </w:rPr>
              <w:t>Depuis combien de temps les élèves de votre école ont-ils reçu leur dernier traitement vermifuge (PZQ ou ALB/MBD ou les deux) ?</w:t>
            </w:r>
          </w:p>
        </w:tc>
        <w:tc>
          <w:tcPr>
            <w:tcW w:w="2420" w:type="dxa"/>
            <w:tcBorders>
              <w:top w:val="single" w:sz="4" w:space="0" w:color="7E7E7E"/>
              <w:left w:val="single" w:sz="4" w:space="0" w:color="7E7E7E"/>
              <w:bottom w:val="single" w:sz="4" w:space="0" w:color="7E7E7E"/>
              <w:right w:val="single" w:sz="4" w:space="0" w:color="7E7E7E"/>
            </w:tcBorders>
          </w:tcPr>
          <w:p w14:paraId="53DEEF84" w14:textId="77777777" w:rsidR="000E2E95" w:rsidRPr="005669CE" w:rsidRDefault="00DB0A1C" w:rsidP="00CE74C2">
            <w:pPr>
              <w:pStyle w:val="TableParagraph"/>
              <w:spacing w:before="13"/>
              <w:ind w:left="12" w:right="1366"/>
              <w:jc w:val="both"/>
            </w:pPr>
            <w:r w:rsidRPr="005669CE">
              <w:rPr>
                <w:lang w:val="fr-FR"/>
              </w:rPr>
              <w:t>Jamais Ne sait pas</w:t>
            </w:r>
          </w:p>
          <w:p w14:paraId="2A976AAE" w14:textId="77777777" w:rsidR="000E2E95" w:rsidRPr="005669CE" w:rsidRDefault="00DB0A1C" w:rsidP="00CE74C2">
            <w:pPr>
              <w:pStyle w:val="TableParagraph"/>
              <w:spacing w:before="1"/>
              <w:ind w:left="12"/>
              <w:jc w:val="both"/>
            </w:pPr>
            <w:r w:rsidRPr="005669CE">
              <w:rPr>
                <w:lang w:val="fr-FR"/>
              </w:rPr>
              <w:t>1 mois</w:t>
            </w:r>
          </w:p>
          <w:p w14:paraId="0DE452E1" w14:textId="77777777" w:rsidR="000E2E95" w:rsidRPr="005669CE" w:rsidRDefault="00DB0A1C" w:rsidP="00CE74C2">
            <w:pPr>
              <w:pStyle w:val="TableParagraph"/>
              <w:ind w:left="12"/>
              <w:jc w:val="both"/>
            </w:pPr>
            <w:r w:rsidRPr="005669CE">
              <w:rPr>
                <w:lang w:val="fr-FR"/>
              </w:rPr>
              <w:t>2 à 6 mois</w:t>
            </w:r>
          </w:p>
          <w:p w14:paraId="0B4C4806" w14:textId="77777777" w:rsidR="000E2E95" w:rsidRPr="005669CE" w:rsidRDefault="00DB0A1C" w:rsidP="00CE74C2">
            <w:pPr>
              <w:pStyle w:val="TableParagraph"/>
              <w:ind w:left="12"/>
              <w:jc w:val="both"/>
            </w:pPr>
            <w:r w:rsidRPr="005669CE">
              <w:rPr>
                <w:lang w:val="fr-FR"/>
              </w:rPr>
              <w:t>6 à 12 mois</w:t>
            </w:r>
          </w:p>
          <w:p w14:paraId="0873D032" w14:textId="77777777" w:rsidR="000E2E95" w:rsidRPr="005669CE" w:rsidRDefault="00DB0A1C" w:rsidP="00CE74C2">
            <w:pPr>
              <w:pStyle w:val="TableParagraph"/>
              <w:ind w:left="12"/>
              <w:jc w:val="both"/>
            </w:pPr>
            <w:r w:rsidRPr="005669CE">
              <w:rPr>
                <w:lang w:val="fr-FR"/>
              </w:rPr>
              <w:t>12 à 24 mois</w:t>
            </w:r>
          </w:p>
          <w:p w14:paraId="5E06C29D" w14:textId="77777777" w:rsidR="000E2E95" w:rsidRPr="005669CE" w:rsidRDefault="00DB0A1C" w:rsidP="00CE74C2">
            <w:pPr>
              <w:pStyle w:val="TableParagraph"/>
              <w:spacing w:before="1" w:line="249" w:lineRule="exact"/>
              <w:ind w:left="12"/>
              <w:jc w:val="both"/>
            </w:pPr>
            <w:r w:rsidRPr="005669CE">
              <w:rPr>
                <w:lang w:val="fr-FR"/>
              </w:rPr>
              <w:t>Il y a plus de deux ans</w:t>
            </w:r>
          </w:p>
        </w:tc>
      </w:tr>
      <w:tr w:rsidR="000C10E3" w14:paraId="50595D29" w14:textId="77777777">
        <w:trPr>
          <w:trHeight w:val="552"/>
        </w:trPr>
        <w:tc>
          <w:tcPr>
            <w:tcW w:w="706" w:type="dxa"/>
          </w:tcPr>
          <w:p w14:paraId="6D080B37" w14:textId="77777777" w:rsidR="000E2E95" w:rsidRPr="005669CE" w:rsidRDefault="00DB0A1C" w:rsidP="00CE74C2">
            <w:pPr>
              <w:pStyle w:val="TableParagraph"/>
              <w:spacing w:before="148"/>
              <w:ind w:left="14"/>
              <w:jc w:val="both"/>
            </w:pPr>
            <w:r w:rsidRPr="005669CE">
              <w:rPr>
                <w:lang w:val="fr-FR"/>
              </w:rPr>
              <w:t>10</w:t>
            </w:r>
          </w:p>
        </w:tc>
        <w:tc>
          <w:tcPr>
            <w:tcW w:w="2701" w:type="dxa"/>
            <w:tcBorders>
              <w:top w:val="single" w:sz="4" w:space="0" w:color="7E7E7E"/>
              <w:bottom w:val="single" w:sz="4" w:space="0" w:color="7E7E7E"/>
              <w:right w:val="single" w:sz="4" w:space="0" w:color="7E7E7E"/>
            </w:tcBorders>
          </w:tcPr>
          <w:p w14:paraId="68A33670" w14:textId="77777777" w:rsidR="000E2E95" w:rsidRPr="005669CE" w:rsidRDefault="00DB0A1C" w:rsidP="00CE74C2">
            <w:pPr>
              <w:pStyle w:val="TableParagraph"/>
              <w:spacing w:before="148"/>
              <w:ind w:left="13"/>
              <w:jc w:val="both"/>
              <w:rPr>
                <w:b/>
              </w:rPr>
            </w:pPr>
            <w:proofErr w:type="spellStart"/>
            <w:proofErr w:type="gramStart"/>
            <w:r w:rsidRPr="005669CE">
              <w:rPr>
                <w:b/>
                <w:bCs/>
                <w:spacing w:val="-2"/>
                <w:lang w:val="fr-FR"/>
              </w:rPr>
              <w:t>w</w:t>
            </w:r>
            <w:proofErr w:type="gramEnd"/>
            <w:r w:rsidRPr="005669CE">
              <w:rPr>
                <w:b/>
                <w:bCs/>
                <w:spacing w:val="-2"/>
                <w:lang w:val="fr-FR"/>
              </w:rPr>
              <w:t>_enrolment</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586C5176" w14:textId="77777777" w:rsidR="000E2E95" w:rsidRPr="005669CE" w:rsidRDefault="00DB0A1C" w:rsidP="00CE74C2">
            <w:pPr>
              <w:pStyle w:val="TableParagraph"/>
              <w:spacing w:line="270" w:lineRule="atLeast"/>
              <w:ind w:left="13" w:right="55"/>
              <w:jc w:val="both"/>
            </w:pPr>
            <w:r w:rsidRPr="005669CE">
              <w:rPr>
                <w:lang w:val="fr-FR"/>
              </w:rPr>
              <w:t xml:space="preserve">Combien d’enfants étaient inscrits au moment de la </w:t>
            </w:r>
            <w:proofErr w:type="spellStart"/>
            <w:r w:rsidRPr="005669CE">
              <w:rPr>
                <w:lang w:val="fr-FR"/>
              </w:rPr>
              <w:t>vermifugation</w:t>
            </w:r>
            <w:proofErr w:type="spellEnd"/>
            <w:r w:rsidRPr="005669CE">
              <w:rPr>
                <w:lang w:val="fr-FR"/>
              </w:rPr>
              <w:t xml:space="preserve"> ?</w:t>
            </w:r>
          </w:p>
        </w:tc>
        <w:tc>
          <w:tcPr>
            <w:tcW w:w="2420" w:type="dxa"/>
            <w:tcBorders>
              <w:top w:val="single" w:sz="4" w:space="0" w:color="7E7E7E"/>
              <w:left w:val="single" w:sz="4" w:space="0" w:color="7E7E7E"/>
              <w:bottom w:val="single" w:sz="4" w:space="0" w:color="7E7E7E"/>
              <w:right w:val="single" w:sz="4" w:space="0" w:color="7E7E7E"/>
            </w:tcBorders>
          </w:tcPr>
          <w:p w14:paraId="4E7DEF7D" w14:textId="77777777" w:rsidR="000E2E95" w:rsidRPr="005669CE" w:rsidRDefault="00DB0A1C" w:rsidP="00CE74C2">
            <w:pPr>
              <w:pStyle w:val="TableParagraph"/>
              <w:spacing w:before="148"/>
              <w:ind w:left="12"/>
              <w:jc w:val="both"/>
            </w:pPr>
            <w:r w:rsidRPr="005669CE">
              <w:rPr>
                <w:lang w:val="fr-FR"/>
              </w:rPr>
              <w:t>Champ numérique</w:t>
            </w:r>
          </w:p>
        </w:tc>
      </w:tr>
      <w:tr w:rsidR="000C10E3" w14:paraId="2911CA1A" w14:textId="77777777">
        <w:trPr>
          <w:trHeight w:val="299"/>
        </w:trPr>
        <w:tc>
          <w:tcPr>
            <w:tcW w:w="706" w:type="dxa"/>
          </w:tcPr>
          <w:p w14:paraId="0F57C411" w14:textId="77777777" w:rsidR="000E2E95" w:rsidRPr="005669CE" w:rsidRDefault="00DB0A1C" w:rsidP="00CE74C2">
            <w:pPr>
              <w:pStyle w:val="TableParagraph"/>
              <w:spacing w:before="23" w:line="256" w:lineRule="exact"/>
              <w:ind w:left="14"/>
              <w:jc w:val="both"/>
            </w:pPr>
            <w:r w:rsidRPr="005669CE">
              <w:rPr>
                <w:lang w:val="fr-FR"/>
              </w:rPr>
              <w:t>11</w:t>
            </w:r>
          </w:p>
        </w:tc>
        <w:tc>
          <w:tcPr>
            <w:tcW w:w="2701" w:type="dxa"/>
            <w:tcBorders>
              <w:top w:val="single" w:sz="4" w:space="0" w:color="7E7E7E"/>
              <w:bottom w:val="single" w:sz="4" w:space="0" w:color="7E7E7E"/>
              <w:right w:val="single" w:sz="4" w:space="0" w:color="7E7E7E"/>
            </w:tcBorders>
          </w:tcPr>
          <w:p w14:paraId="35096F4F" w14:textId="77777777" w:rsidR="000E2E95" w:rsidRPr="005669CE" w:rsidRDefault="00DB0A1C" w:rsidP="00CE74C2">
            <w:pPr>
              <w:pStyle w:val="TableParagraph"/>
              <w:spacing w:before="23" w:line="256" w:lineRule="exact"/>
              <w:ind w:left="13"/>
              <w:jc w:val="both"/>
              <w:rPr>
                <w:b/>
              </w:rPr>
            </w:pPr>
            <w:proofErr w:type="spellStart"/>
            <w:proofErr w:type="gramStart"/>
            <w:r w:rsidRPr="005669CE">
              <w:rPr>
                <w:b/>
                <w:bCs/>
                <w:spacing w:val="-2"/>
                <w:lang w:val="fr-FR"/>
              </w:rPr>
              <w:t>w</w:t>
            </w:r>
            <w:proofErr w:type="gramEnd"/>
            <w:r w:rsidRPr="005669CE">
              <w:rPr>
                <w:b/>
                <w:bCs/>
                <w:spacing w:val="-2"/>
                <w:lang w:val="fr-FR"/>
              </w:rPr>
              <w:t>_treated</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45FFE6D7" w14:textId="77777777" w:rsidR="000E2E95" w:rsidRPr="005669CE" w:rsidRDefault="00DB0A1C" w:rsidP="00CE74C2">
            <w:pPr>
              <w:pStyle w:val="TableParagraph"/>
              <w:spacing w:before="23" w:line="256" w:lineRule="exact"/>
              <w:ind w:left="13"/>
              <w:jc w:val="both"/>
            </w:pPr>
            <w:r w:rsidRPr="005669CE">
              <w:rPr>
                <w:lang w:val="fr-FR"/>
              </w:rPr>
              <w:t>Combien d’enfants ont été traités ?</w:t>
            </w:r>
          </w:p>
        </w:tc>
        <w:tc>
          <w:tcPr>
            <w:tcW w:w="2420" w:type="dxa"/>
            <w:tcBorders>
              <w:top w:val="single" w:sz="4" w:space="0" w:color="7E7E7E"/>
              <w:left w:val="single" w:sz="4" w:space="0" w:color="7E7E7E"/>
              <w:bottom w:val="single" w:sz="4" w:space="0" w:color="7E7E7E"/>
              <w:right w:val="single" w:sz="4" w:space="0" w:color="7E7E7E"/>
            </w:tcBorders>
          </w:tcPr>
          <w:p w14:paraId="0547A857" w14:textId="77777777" w:rsidR="000E2E95" w:rsidRPr="005669CE" w:rsidRDefault="00DB0A1C" w:rsidP="00CE74C2">
            <w:pPr>
              <w:pStyle w:val="TableParagraph"/>
              <w:spacing w:before="23" w:line="256" w:lineRule="exact"/>
              <w:ind w:left="12"/>
              <w:jc w:val="both"/>
            </w:pPr>
            <w:r w:rsidRPr="005669CE">
              <w:rPr>
                <w:lang w:val="fr-FR"/>
              </w:rPr>
              <w:t>Champ numérique</w:t>
            </w:r>
          </w:p>
        </w:tc>
      </w:tr>
      <w:tr w:rsidR="000C10E3" w14:paraId="7507A1A4" w14:textId="77777777">
        <w:trPr>
          <w:trHeight w:val="551"/>
        </w:trPr>
        <w:tc>
          <w:tcPr>
            <w:tcW w:w="706" w:type="dxa"/>
          </w:tcPr>
          <w:p w14:paraId="2A831FA3" w14:textId="77777777" w:rsidR="000E2E95" w:rsidRPr="005669CE" w:rsidRDefault="00DB0A1C" w:rsidP="00CE74C2">
            <w:pPr>
              <w:pStyle w:val="TableParagraph"/>
              <w:spacing w:before="148"/>
              <w:ind w:left="14"/>
              <w:jc w:val="both"/>
            </w:pPr>
            <w:r w:rsidRPr="005669CE">
              <w:rPr>
                <w:lang w:val="fr-FR"/>
              </w:rPr>
              <w:t>12</w:t>
            </w:r>
          </w:p>
        </w:tc>
        <w:tc>
          <w:tcPr>
            <w:tcW w:w="2701" w:type="dxa"/>
            <w:tcBorders>
              <w:top w:val="single" w:sz="4" w:space="0" w:color="7E7E7E"/>
              <w:bottom w:val="single" w:sz="4" w:space="0" w:color="7E7E7E"/>
              <w:right w:val="single" w:sz="4" w:space="0" w:color="7E7E7E"/>
            </w:tcBorders>
          </w:tcPr>
          <w:p w14:paraId="0361820A" w14:textId="77777777" w:rsidR="000E2E95" w:rsidRPr="005669CE" w:rsidRDefault="00DB0A1C" w:rsidP="00CE74C2">
            <w:pPr>
              <w:pStyle w:val="TableParagraph"/>
              <w:spacing w:before="148"/>
              <w:ind w:left="13"/>
              <w:jc w:val="both"/>
              <w:rPr>
                <w:b/>
              </w:rPr>
            </w:pPr>
            <w:proofErr w:type="spellStart"/>
            <w:proofErr w:type="gramStart"/>
            <w:r w:rsidRPr="005669CE">
              <w:rPr>
                <w:b/>
                <w:bCs/>
                <w:spacing w:val="-2"/>
                <w:lang w:val="fr-FR"/>
              </w:rPr>
              <w:t>w</w:t>
            </w:r>
            <w:proofErr w:type="gramEnd"/>
            <w:r w:rsidRPr="005669CE">
              <w:rPr>
                <w:b/>
                <w:bCs/>
                <w:spacing w:val="-2"/>
                <w:lang w:val="fr-FR"/>
              </w:rPr>
              <w:t>_treated_logiccheck</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4EC67A98" w14:textId="77777777" w:rsidR="000E2E95" w:rsidRPr="005669CE" w:rsidRDefault="00DB0A1C" w:rsidP="00CE74C2">
            <w:pPr>
              <w:pStyle w:val="TableParagraph"/>
              <w:spacing w:before="13"/>
              <w:ind w:left="13"/>
              <w:jc w:val="both"/>
              <w:rPr>
                <w:i/>
              </w:rPr>
            </w:pPr>
            <w:r w:rsidRPr="005669CE">
              <w:rPr>
                <w:i/>
                <w:iCs/>
              </w:rPr>
              <w:t>IF the number (treated/enrolment) is</w:t>
            </w:r>
          </w:p>
          <w:p w14:paraId="2F5A0591" w14:textId="77777777" w:rsidR="000E2E95" w:rsidRPr="005669CE" w:rsidRDefault="00DB0A1C" w:rsidP="00CE74C2">
            <w:pPr>
              <w:pStyle w:val="TableParagraph"/>
              <w:spacing w:line="249" w:lineRule="exact"/>
              <w:ind w:left="13"/>
              <w:jc w:val="both"/>
              <w:rPr>
                <w:i/>
              </w:rPr>
            </w:pPr>
            <w:r w:rsidRPr="005669CE">
              <w:rPr>
                <w:i/>
                <w:iCs/>
              </w:rPr>
              <w:t>&lt;20% or &gt;100%, check both 10 &amp; 11.</w:t>
            </w:r>
          </w:p>
        </w:tc>
        <w:tc>
          <w:tcPr>
            <w:tcW w:w="2420" w:type="dxa"/>
            <w:tcBorders>
              <w:top w:val="single" w:sz="4" w:space="0" w:color="7E7E7E"/>
              <w:left w:val="single" w:sz="4" w:space="0" w:color="7E7E7E"/>
              <w:bottom w:val="single" w:sz="4" w:space="0" w:color="7E7E7E"/>
              <w:right w:val="single" w:sz="4" w:space="0" w:color="7E7E7E"/>
            </w:tcBorders>
          </w:tcPr>
          <w:p w14:paraId="2B94582E" w14:textId="77777777" w:rsidR="000E2E95" w:rsidRPr="005669CE" w:rsidRDefault="000E2E95" w:rsidP="00CE74C2">
            <w:pPr>
              <w:pStyle w:val="TableParagraph"/>
              <w:jc w:val="both"/>
              <w:rPr>
                <w:rFonts w:ascii="Times New Roman"/>
              </w:rPr>
            </w:pPr>
          </w:p>
        </w:tc>
      </w:tr>
      <w:tr w:rsidR="000C10E3" w14:paraId="5C3EE6D8" w14:textId="77777777">
        <w:trPr>
          <w:trHeight w:val="465"/>
        </w:trPr>
        <w:tc>
          <w:tcPr>
            <w:tcW w:w="706" w:type="dxa"/>
          </w:tcPr>
          <w:p w14:paraId="40D114FA" w14:textId="77777777" w:rsidR="000E2E95" w:rsidRPr="005669CE" w:rsidRDefault="00DB0A1C" w:rsidP="00CE74C2">
            <w:pPr>
              <w:pStyle w:val="TableParagraph"/>
              <w:spacing w:before="95"/>
              <w:ind w:left="14"/>
              <w:jc w:val="both"/>
            </w:pPr>
            <w:r w:rsidRPr="005669CE">
              <w:rPr>
                <w:lang w:val="fr-FR"/>
              </w:rPr>
              <w:t>13</w:t>
            </w:r>
          </w:p>
        </w:tc>
        <w:tc>
          <w:tcPr>
            <w:tcW w:w="2701" w:type="dxa"/>
            <w:tcBorders>
              <w:top w:val="single" w:sz="4" w:space="0" w:color="7E7E7E"/>
              <w:bottom w:val="single" w:sz="4" w:space="0" w:color="7E7E7E"/>
              <w:right w:val="single" w:sz="4" w:space="0" w:color="7E7E7E"/>
            </w:tcBorders>
          </w:tcPr>
          <w:p w14:paraId="301E9329" w14:textId="77777777" w:rsidR="000E2E95" w:rsidRPr="005669CE" w:rsidRDefault="00DB0A1C" w:rsidP="00CE74C2">
            <w:pPr>
              <w:pStyle w:val="TableParagraph"/>
              <w:spacing w:before="95"/>
              <w:ind w:left="13"/>
              <w:jc w:val="both"/>
              <w:rPr>
                <w:b/>
              </w:rPr>
            </w:pPr>
            <w:proofErr w:type="spellStart"/>
            <w:proofErr w:type="gramStart"/>
            <w:r w:rsidRPr="005669CE">
              <w:rPr>
                <w:b/>
                <w:bCs/>
                <w:spacing w:val="-2"/>
                <w:lang w:val="fr-FR"/>
              </w:rPr>
              <w:t>w</w:t>
            </w:r>
            <w:proofErr w:type="gramEnd"/>
            <w:r w:rsidRPr="005669CE">
              <w:rPr>
                <w:b/>
                <w:bCs/>
                <w:spacing w:val="-2"/>
                <w:lang w:val="fr-FR"/>
              </w:rPr>
              <w:t>_remarks</w:t>
            </w:r>
            <w:proofErr w:type="spellEnd"/>
          </w:p>
        </w:tc>
        <w:tc>
          <w:tcPr>
            <w:tcW w:w="3536" w:type="dxa"/>
            <w:tcBorders>
              <w:top w:val="single" w:sz="4" w:space="0" w:color="7E7E7E"/>
              <w:left w:val="single" w:sz="4" w:space="0" w:color="7E7E7E"/>
              <w:bottom w:val="single" w:sz="4" w:space="0" w:color="7E7E7E"/>
              <w:right w:val="single" w:sz="4" w:space="0" w:color="7E7E7E"/>
            </w:tcBorders>
          </w:tcPr>
          <w:p w14:paraId="20006BA8" w14:textId="77777777" w:rsidR="000E2E95" w:rsidRPr="005669CE" w:rsidRDefault="00DB0A1C" w:rsidP="00CE74C2">
            <w:pPr>
              <w:pStyle w:val="TableParagraph"/>
              <w:spacing w:before="95"/>
              <w:ind w:left="13"/>
              <w:jc w:val="both"/>
            </w:pPr>
            <w:r w:rsidRPr="005669CE">
              <w:rPr>
                <w:lang w:val="fr-FR"/>
              </w:rPr>
              <w:t>Remarques complémentaires :</w:t>
            </w:r>
          </w:p>
        </w:tc>
        <w:tc>
          <w:tcPr>
            <w:tcW w:w="2420" w:type="dxa"/>
            <w:tcBorders>
              <w:top w:val="single" w:sz="4" w:space="0" w:color="7E7E7E"/>
              <w:left w:val="single" w:sz="4" w:space="0" w:color="7E7E7E"/>
              <w:bottom w:val="single" w:sz="4" w:space="0" w:color="7E7E7E"/>
              <w:right w:val="single" w:sz="4" w:space="0" w:color="7E7E7E"/>
            </w:tcBorders>
          </w:tcPr>
          <w:p w14:paraId="4B2EC4C0" w14:textId="77777777" w:rsidR="000E2E95" w:rsidRPr="005669CE" w:rsidRDefault="000E2E95" w:rsidP="00CE74C2">
            <w:pPr>
              <w:pStyle w:val="TableParagraph"/>
              <w:jc w:val="both"/>
              <w:rPr>
                <w:rFonts w:ascii="Times New Roman"/>
              </w:rPr>
            </w:pPr>
          </w:p>
        </w:tc>
      </w:tr>
    </w:tbl>
    <w:p w14:paraId="742AD84A" w14:textId="77777777" w:rsidR="000E2E95" w:rsidRPr="005669CE" w:rsidRDefault="000E2E95" w:rsidP="00CE74C2">
      <w:pPr>
        <w:jc w:val="both"/>
        <w:rPr>
          <w:rFonts w:ascii="Times New Roman"/>
        </w:rPr>
        <w:sectPr w:rsidR="000E2E95" w:rsidRPr="005669CE" w:rsidSect="008622E9">
          <w:pgSz w:w="12240" w:h="15840"/>
          <w:pgMar w:top="1440" w:right="1077" w:bottom="1440" w:left="1077" w:header="720" w:footer="720" w:gutter="0"/>
          <w:cols w:space="720"/>
        </w:sectPr>
      </w:pPr>
    </w:p>
    <w:p w14:paraId="2AB87756" w14:textId="77777777" w:rsidR="000E2E95" w:rsidRPr="005669CE" w:rsidRDefault="00DB0A1C" w:rsidP="003F1F88">
      <w:pPr>
        <w:pStyle w:val="Heading2"/>
      </w:pPr>
      <w:bookmarkStart w:id="48" w:name="_bookmark21"/>
      <w:bookmarkStart w:id="49" w:name="_Participant_Register_(paper)"/>
      <w:bookmarkStart w:id="50" w:name="_Toc181011880"/>
      <w:bookmarkEnd w:id="48"/>
      <w:bookmarkEnd w:id="49"/>
      <w:r w:rsidRPr="005669CE">
        <w:rPr>
          <w:lang w:val="fr-FR"/>
        </w:rPr>
        <w:lastRenderedPageBreak/>
        <w:t>Registre des participants (papier)</w:t>
      </w:r>
      <w:bookmarkEnd w:id="50"/>
    </w:p>
    <w:p w14:paraId="01C6D9D0" w14:textId="6A5E4A1F" w:rsidR="000E2E95" w:rsidRPr="005669CE" w:rsidRDefault="00DB0A1C" w:rsidP="00D936C5">
      <w:pPr>
        <w:tabs>
          <w:tab w:val="left" w:pos="4514"/>
          <w:tab w:val="left" w:pos="5160"/>
          <w:tab w:val="left" w:pos="8331"/>
        </w:tabs>
        <w:spacing w:before="120"/>
        <w:ind w:left="120"/>
        <w:jc w:val="both"/>
        <w:rPr>
          <w:b/>
        </w:rPr>
      </w:pPr>
      <w:r w:rsidRPr="005669CE">
        <w:rPr>
          <w:b/>
          <w:bCs/>
          <w:lang w:val="fr-FR"/>
        </w:rPr>
        <w:t xml:space="preserve">Nom de l’école : </w:t>
      </w:r>
      <w:r w:rsidR="00D936C5" w:rsidRPr="00D936C5">
        <w:rPr>
          <w:b/>
          <w:bCs/>
          <w:u w:val="thick"/>
        </w:rPr>
        <w:tab/>
      </w:r>
      <w:r w:rsidR="00D936C5" w:rsidRPr="00D936C5">
        <w:rPr>
          <w:b/>
          <w:bCs/>
        </w:rPr>
        <w:tab/>
      </w:r>
      <w:proofErr w:type="gramStart"/>
      <w:r w:rsidR="00D936C5" w:rsidRPr="00D936C5">
        <w:rPr>
          <w:b/>
          <w:bCs/>
        </w:rPr>
        <w:t>Date:</w:t>
      </w:r>
      <w:proofErr w:type="gramEnd"/>
      <w:r w:rsidR="00D936C5" w:rsidRPr="00D936C5">
        <w:rPr>
          <w:b/>
          <w:bCs/>
          <w:u w:val="thick"/>
        </w:rPr>
        <w:tab/>
      </w:r>
    </w:p>
    <w:p w14:paraId="449EC38C" w14:textId="4A026EC5" w:rsidR="000E2E95" w:rsidRPr="005669CE" w:rsidRDefault="00DB0A1C" w:rsidP="00D936C5">
      <w:pPr>
        <w:tabs>
          <w:tab w:val="left" w:pos="4379"/>
          <w:tab w:val="left" w:pos="8957"/>
        </w:tabs>
        <w:spacing w:before="180"/>
        <w:ind w:left="120"/>
        <w:jc w:val="both"/>
        <w:rPr>
          <w:b/>
        </w:rPr>
      </w:pPr>
      <w:r w:rsidRPr="005669CE">
        <w:rPr>
          <w:b/>
          <w:bCs/>
          <w:lang w:val="fr-FR"/>
        </w:rPr>
        <w:t xml:space="preserve">Code du district : </w:t>
      </w:r>
      <w:r w:rsidR="00D936C5" w:rsidRPr="00D936C5">
        <w:rPr>
          <w:b/>
          <w:bCs/>
          <w:u w:val="thick"/>
        </w:rPr>
        <w:tab/>
      </w:r>
      <w:r w:rsidRPr="005669CE">
        <w:rPr>
          <w:b/>
          <w:bCs/>
          <w:spacing w:val="80"/>
          <w:lang w:val="fr-FR"/>
        </w:rPr>
        <w:t xml:space="preserve"> </w:t>
      </w:r>
      <w:r w:rsidRPr="00D936C5">
        <w:rPr>
          <w:b/>
          <w:bCs/>
          <w:lang w:val="fr-FR"/>
        </w:rPr>
        <w:t>Code du sous-district</w:t>
      </w:r>
      <w:r w:rsidRPr="005669CE">
        <w:rPr>
          <w:b/>
          <w:bCs/>
          <w:spacing w:val="80"/>
          <w:lang w:val="fr-FR"/>
        </w:rPr>
        <w:t> :</w:t>
      </w:r>
      <w:r w:rsidR="00D936C5" w:rsidRPr="00D936C5">
        <w:rPr>
          <w:b/>
          <w:u w:val="thick"/>
        </w:rPr>
        <w:t xml:space="preserve"> </w:t>
      </w:r>
      <w:r w:rsidR="00D936C5" w:rsidRPr="00D936C5">
        <w:rPr>
          <w:b/>
          <w:bCs/>
          <w:spacing w:val="80"/>
          <w:u w:val="thick"/>
        </w:rPr>
        <w:tab/>
      </w:r>
    </w:p>
    <w:p w14:paraId="19C0BA8A" w14:textId="77777777" w:rsidR="000E2E95" w:rsidRPr="005669CE" w:rsidRDefault="000E2E95" w:rsidP="00341A0D">
      <w:pPr>
        <w:pStyle w:val="BodyText"/>
      </w:pPr>
    </w:p>
    <w:tbl>
      <w:tblPr>
        <w:tblW w:w="0" w:type="auto"/>
        <w:tblInd w:w="13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1E0" w:firstRow="1" w:lastRow="1" w:firstColumn="1" w:lastColumn="1" w:noHBand="0" w:noVBand="0"/>
      </w:tblPr>
      <w:tblGrid>
        <w:gridCol w:w="442"/>
        <w:gridCol w:w="2471"/>
        <w:gridCol w:w="531"/>
        <w:gridCol w:w="668"/>
        <w:gridCol w:w="850"/>
        <w:gridCol w:w="709"/>
        <w:gridCol w:w="723"/>
        <w:gridCol w:w="2969"/>
      </w:tblGrid>
      <w:tr w:rsidR="000C10E3" w14:paraId="04C1BECD" w14:textId="77777777" w:rsidTr="5AD33FE0">
        <w:trPr>
          <w:trHeight w:val="537"/>
        </w:trPr>
        <w:tc>
          <w:tcPr>
            <w:tcW w:w="442" w:type="dxa"/>
          </w:tcPr>
          <w:p w14:paraId="11C10119" w14:textId="77777777" w:rsidR="000E2E95" w:rsidRPr="005669CE" w:rsidRDefault="00DB0A1C" w:rsidP="00CE74C2">
            <w:pPr>
              <w:pStyle w:val="TableParagraph"/>
              <w:spacing w:line="268" w:lineRule="exact"/>
              <w:ind w:left="9" w:right="113"/>
              <w:jc w:val="both"/>
              <w:rPr>
                <w:b/>
              </w:rPr>
            </w:pPr>
            <w:r w:rsidRPr="005669CE">
              <w:rPr>
                <w:b/>
                <w:bCs/>
                <w:spacing w:val="-10"/>
                <w:lang w:val="fr-FR"/>
              </w:rPr>
              <w:t>#</w:t>
            </w:r>
          </w:p>
        </w:tc>
        <w:tc>
          <w:tcPr>
            <w:tcW w:w="2471" w:type="dxa"/>
          </w:tcPr>
          <w:p w14:paraId="3453E211" w14:textId="77777777" w:rsidR="000E2E95" w:rsidRPr="005669CE" w:rsidRDefault="00DB0A1C" w:rsidP="00CE74C2">
            <w:pPr>
              <w:pStyle w:val="TableParagraph"/>
              <w:spacing w:line="268" w:lineRule="exact"/>
              <w:ind w:left="107"/>
              <w:jc w:val="both"/>
              <w:rPr>
                <w:b/>
              </w:rPr>
            </w:pPr>
            <w:r w:rsidRPr="005669CE">
              <w:rPr>
                <w:b/>
                <w:bCs/>
                <w:spacing w:val="-4"/>
                <w:lang w:val="fr-FR"/>
              </w:rPr>
              <w:t>Nom</w:t>
            </w:r>
          </w:p>
        </w:tc>
        <w:tc>
          <w:tcPr>
            <w:tcW w:w="531" w:type="dxa"/>
          </w:tcPr>
          <w:p w14:paraId="111472AE" w14:textId="77777777" w:rsidR="000E2E95" w:rsidRPr="005669CE" w:rsidRDefault="00DB0A1C" w:rsidP="00CE74C2">
            <w:pPr>
              <w:pStyle w:val="TableParagraph"/>
              <w:spacing w:line="268" w:lineRule="exact"/>
              <w:ind w:left="106"/>
              <w:jc w:val="both"/>
              <w:rPr>
                <w:b/>
              </w:rPr>
            </w:pPr>
            <w:r w:rsidRPr="005669CE">
              <w:rPr>
                <w:b/>
                <w:bCs/>
                <w:spacing w:val="-5"/>
                <w:lang w:val="fr-FR"/>
              </w:rPr>
              <w:t>Sexe</w:t>
            </w:r>
          </w:p>
        </w:tc>
        <w:tc>
          <w:tcPr>
            <w:tcW w:w="668" w:type="dxa"/>
          </w:tcPr>
          <w:p w14:paraId="58804225" w14:textId="77777777" w:rsidR="000E2E95" w:rsidRPr="005669CE" w:rsidRDefault="00DB0A1C" w:rsidP="00CE74C2">
            <w:pPr>
              <w:pStyle w:val="TableParagraph"/>
              <w:spacing w:line="268" w:lineRule="exact"/>
              <w:ind w:left="105"/>
              <w:jc w:val="both"/>
              <w:rPr>
                <w:b/>
              </w:rPr>
            </w:pPr>
            <w:r w:rsidRPr="005669CE">
              <w:rPr>
                <w:b/>
                <w:bCs/>
                <w:spacing w:val="-5"/>
                <w:lang w:val="fr-FR"/>
              </w:rPr>
              <w:t>Âge</w:t>
            </w:r>
          </w:p>
        </w:tc>
        <w:tc>
          <w:tcPr>
            <w:tcW w:w="850" w:type="dxa"/>
          </w:tcPr>
          <w:p w14:paraId="4B76637A" w14:textId="77777777" w:rsidR="000E2E95" w:rsidRPr="005669CE" w:rsidRDefault="00DB0A1C" w:rsidP="00CE74C2">
            <w:pPr>
              <w:pStyle w:val="TableParagraph"/>
              <w:spacing w:line="268" w:lineRule="exact"/>
              <w:ind w:left="105"/>
              <w:jc w:val="both"/>
              <w:rPr>
                <w:b/>
              </w:rPr>
            </w:pPr>
            <w:r w:rsidRPr="005669CE">
              <w:rPr>
                <w:b/>
                <w:bCs/>
                <w:spacing w:val="-2"/>
                <w:lang w:val="fr-FR"/>
              </w:rPr>
              <w:t>Classe</w:t>
            </w:r>
          </w:p>
        </w:tc>
        <w:tc>
          <w:tcPr>
            <w:tcW w:w="709" w:type="dxa"/>
          </w:tcPr>
          <w:p w14:paraId="17D31797" w14:textId="77777777" w:rsidR="000E2E95" w:rsidRPr="005669CE" w:rsidRDefault="00DB0A1C" w:rsidP="00CE74C2">
            <w:pPr>
              <w:pStyle w:val="TableParagraph"/>
              <w:spacing w:line="268" w:lineRule="exact"/>
              <w:ind w:left="104"/>
              <w:jc w:val="both"/>
              <w:rPr>
                <w:b/>
              </w:rPr>
            </w:pPr>
            <w:r w:rsidRPr="005669CE">
              <w:rPr>
                <w:b/>
                <w:bCs/>
                <w:spacing w:val="-2"/>
                <w:lang w:val="fr-FR"/>
              </w:rPr>
              <w:t>Selles</w:t>
            </w:r>
          </w:p>
          <w:p w14:paraId="183CAE49" w14:textId="77777777" w:rsidR="000E2E95" w:rsidRPr="005669CE" w:rsidRDefault="00DB0A1C" w:rsidP="00CE74C2">
            <w:pPr>
              <w:pStyle w:val="TableParagraph"/>
              <w:spacing w:line="249" w:lineRule="exact"/>
              <w:ind w:left="104"/>
              <w:jc w:val="both"/>
              <w:rPr>
                <w:b/>
              </w:rPr>
            </w:pPr>
            <w:r w:rsidRPr="005669CE">
              <w:rPr>
                <w:b/>
                <w:bCs/>
                <w:spacing w:val="-2"/>
                <w:lang w:val="fr-FR"/>
              </w:rPr>
              <w:t>(O/N)</w:t>
            </w:r>
          </w:p>
        </w:tc>
        <w:tc>
          <w:tcPr>
            <w:tcW w:w="723" w:type="dxa"/>
          </w:tcPr>
          <w:p w14:paraId="6AF6E35C" w14:textId="77777777" w:rsidR="000E2E95" w:rsidRPr="005669CE" w:rsidRDefault="00DB0A1C" w:rsidP="00CE74C2">
            <w:pPr>
              <w:pStyle w:val="TableParagraph"/>
              <w:spacing w:line="268" w:lineRule="exact"/>
              <w:ind w:left="104"/>
              <w:jc w:val="both"/>
              <w:rPr>
                <w:b/>
              </w:rPr>
            </w:pPr>
            <w:r w:rsidRPr="005669CE">
              <w:rPr>
                <w:b/>
                <w:bCs/>
                <w:spacing w:val="-2"/>
                <w:lang w:val="fr-FR"/>
              </w:rPr>
              <w:t>Urine</w:t>
            </w:r>
          </w:p>
          <w:p w14:paraId="1C7D2D25" w14:textId="77777777" w:rsidR="000E2E95" w:rsidRPr="005669CE" w:rsidRDefault="00DB0A1C" w:rsidP="00CE74C2">
            <w:pPr>
              <w:pStyle w:val="TableParagraph"/>
              <w:spacing w:line="249" w:lineRule="exact"/>
              <w:ind w:left="104"/>
              <w:jc w:val="both"/>
              <w:rPr>
                <w:b/>
              </w:rPr>
            </w:pPr>
            <w:r w:rsidRPr="005669CE">
              <w:rPr>
                <w:b/>
                <w:bCs/>
                <w:spacing w:val="-2"/>
                <w:lang w:val="fr-FR"/>
              </w:rPr>
              <w:t>(O/N)</w:t>
            </w:r>
          </w:p>
        </w:tc>
        <w:tc>
          <w:tcPr>
            <w:tcW w:w="2969" w:type="dxa"/>
          </w:tcPr>
          <w:p w14:paraId="0939AD80" w14:textId="77777777" w:rsidR="000E2E95" w:rsidRPr="005669CE" w:rsidRDefault="00DB0A1C" w:rsidP="00CE74C2">
            <w:pPr>
              <w:pStyle w:val="TableParagraph"/>
              <w:spacing w:line="268" w:lineRule="exact"/>
              <w:ind w:left="103"/>
              <w:jc w:val="both"/>
              <w:rPr>
                <w:b/>
              </w:rPr>
            </w:pPr>
            <w:r w:rsidRPr="005669CE">
              <w:rPr>
                <w:b/>
                <w:bCs/>
                <w:spacing w:val="-2"/>
                <w:lang w:val="fr-FR"/>
              </w:rPr>
              <w:t>Remarques</w:t>
            </w:r>
          </w:p>
        </w:tc>
      </w:tr>
      <w:tr w:rsidR="000C10E3" w14:paraId="63290FE6" w14:textId="77777777" w:rsidTr="5AD33FE0">
        <w:trPr>
          <w:trHeight w:val="432"/>
        </w:trPr>
        <w:tc>
          <w:tcPr>
            <w:tcW w:w="442" w:type="dxa"/>
          </w:tcPr>
          <w:p w14:paraId="17C173E6" w14:textId="77777777" w:rsidR="000E2E95" w:rsidRPr="005669CE" w:rsidRDefault="00DB0A1C" w:rsidP="00CE74C2">
            <w:pPr>
              <w:pStyle w:val="TableParagraph"/>
              <w:spacing w:line="268" w:lineRule="exact"/>
              <w:ind w:left="9" w:right="111"/>
              <w:jc w:val="both"/>
            </w:pPr>
            <w:r w:rsidRPr="005669CE">
              <w:rPr>
                <w:lang w:val="fr-FR"/>
              </w:rPr>
              <w:t>1</w:t>
            </w:r>
          </w:p>
        </w:tc>
        <w:tc>
          <w:tcPr>
            <w:tcW w:w="2471" w:type="dxa"/>
          </w:tcPr>
          <w:p w14:paraId="73880595" w14:textId="77777777" w:rsidR="000E2E95" w:rsidRPr="005669CE" w:rsidRDefault="000E2E95" w:rsidP="00CE74C2">
            <w:pPr>
              <w:pStyle w:val="TableParagraph"/>
              <w:jc w:val="both"/>
              <w:rPr>
                <w:rFonts w:ascii="Times New Roman"/>
              </w:rPr>
            </w:pPr>
          </w:p>
        </w:tc>
        <w:tc>
          <w:tcPr>
            <w:tcW w:w="531" w:type="dxa"/>
          </w:tcPr>
          <w:p w14:paraId="444B2CD3" w14:textId="77777777" w:rsidR="000E2E95" w:rsidRPr="005669CE" w:rsidRDefault="000E2E95" w:rsidP="00CE74C2">
            <w:pPr>
              <w:pStyle w:val="TableParagraph"/>
              <w:jc w:val="both"/>
              <w:rPr>
                <w:rFonts w:ascii="Times New Roman"/>
              </w:rPr>
            </w:pPr>
          </w:p>
        </w:tc>
        <w:tc>
          <w:tcPr>
            <w:tcW w:w="668" w:type="dxa"/>
          </w:tcPr>
          <w:p w14:paraId="130372B2" w14:textId="77777777" w:rsidR="000E2E95" w:rsidRPr="005669CE" w:rsidRDefault="000E2E95" w:rsidP="00CE74C2">
            <w:pPr>
              <w:pStyle w:val="TableParagraph"/>
              <w:jc w:val="both"/>
              <w:rPr>
                <w:rFonts w:ascii="Times New Roman"/>
              </w:rPr>
            </w:pPr>
          </w:p>
        </w:tc>
        <w:tc>
          <w:tcPr>
            <w:tcW w:w="850" w:type="dxa"/>
          </w:tcPr>
          <w:p w14:paraId="0653DA8E" w14:textId="77777777" w:rsidR="000E2E95" w:rsidRPr="005669CE" w:rsidRDefault="000E2E95" w:rsidP="00CE74C2">
            <w:pPr>
              <w:pStyle w:val="TableParagraph"/>
              <w:jc w:val="both"/>
              <w:rPr>
                <w:rFonts w:ascii="Times New Roman"/>
              </w:rPr>
            </w:pPr>
          </w:p>
        </w:tc>
        <w:tc>
          <w:tcPr>
            <w:tcW w:w="709" w:type="dxa"/>
          </w:tcPr>
          <w:p w14:paraId="59F41C6D" w14:textId="77777777" w:rsidR="000E2E95" w:rsidRPr="005669CE" w:rsidRDefault="000E2E95" w:rsidP="00CE74C2">
            <w:pPr>
              <w:pStyle w:val="TableParagraph"/>
              <w:jc w:val="both"/>
              <w:rPr>
                <w:rFonts w:ascii="Times New Roman"/>
              </w:rPr>
            </w:pPr>
          </w:p>
        </w:tc>
        <w:tc>
          <w:tcPr>
            <w:tcW w:w="723" w:type="dxa"/>
          </w:tcPr>
          <w:p w14:paraId="04F36D33" w14:textId="77777777" w:rsidR="000E2E95" w:rsidRPr="005669CE" w:rsidRDefault="000E2E95" w:rsidP="00CE74C2">
            <w:pPr>
              <w:pStyle w:val="TableParagraph"/>
              <w:jc w:val="both"/>
              <w:rPr>
                <w:rFonts w:ascii="Times New Roman"/>
              </w:rPr>
            </w:pPr>
          </w:p>
        </w:tc>
        <w:tc>
          <w:tcPr>
            <w:tcW w:w="2969" w:type="dxa"/>
          </w:tcPr>
          <w:p w14:paraId="09B0EAB6" w14:textId="77777777" w:rsidR="000E2E95" w:rsidRPr="005669CE" w:rsidRDefault="000E2E95" w:rsidP="00CE74C2">
            <w:pPr>
              <w:pStyle w:val="TableParagraph"/>
              <w:jc w:val="both"/>
              <w:rPr>
                <w:rFonts w:ascii="Times New Roman"/>
              </w:rPr>
            </w:pPr>
          </w:p>
        </w:tc>
      </w:tr>
      <w:tr w:rsidR="000C10E3" w14:paraId="3F70AEF2" w14:textId="77777777" w:rsidTr="5AD33FE0">
        <w:trPr>
          <w:trHeight w:val="432"/>
        </w:trPr>
        <w:tc>
          <w:tcPr>
            <w:tcW w:w="442" w:type="dxa"/>
          </w:tcPr>
          <w:p w14:paraId="3953C4D8" w14:textId="77777777" w:rsidR="000E2E95" w:rsidRPr="005669CE" w:rsidRDefault="00DB0A1C" w:rsidP="00CE74C2">
            <w:pPr>
              <w:pStyle w:val="TableParagraph"/>
              <w:spacing w:line="268" w:lineRule="exact"/>
              <w:ind w:left="9" w:right="111"/>
              <w:jc w:val="both"/>
            </w:pPr>
            <w:r w:rsidRPr="005669CE">
              <w:rPr>
                <w:lang w:val="fr-FR"/>
              </w:rPr>
              <w:t>2</w:t>
            </w:r>
          </w:p>
        </w:tc>
        <w:tc>
          <w:tcPr>
            <w:tcW w:w="2471" w:type="dxa"/>
          </w:tcPr>
          <w:p w14:paraId="5DB36796" w14:textId="77777777" w:rsidR="000E2E95" w:rsidRPr="005669CE" w:rsidRDefault="000E2E95" w:rsidP="00CE74C2">
            <w:pPr>
              <w:pStyle w:val="TableParagraph"/>
              <w:jc w:val="both"/>
              <w:rPr>
                <w:rFonts w:ascii="Times New Roman"/>
              </w:rPr>
            </w:pPr>
          </w:p>
        </w:tc>
        <w:tc>
          <w:tcPr>
            <w:tcW w:w="531" w:type="dxa"/>
          </w:tcPr>
          <w:p w14:paraId="4699CC85" w14:textId="77777777" w:rsidR="000E2E95" w:rsidRPr="005669CE" w:rsidRDefault="000E2E95" w:rsidP="00CE74C2">
            <w:pPr>
              <w:pStyle w:val="TableParagraph"/>
              <w:jc w:val="both"/>
              <w:rPr>
                <w:rFonts w:ascii="Times New Roman"/>
              </w:rPr>
            </w:pPr>
          </w:p>
        </w:tc>
        <w:tc>
          <w:tcPr>
            <w:tcW w:w="668" w:type="dxa"/>
          </w:tcPr>
          <w:p w14:paraId="1547DACB" w14:textId="77777777" w:rsidR="000E2E95" w:rsidRPr="005669CE" w:rsidRDefault="000E2E95" w:rsidP="00CE74C2">
            <w:pPr>
              <w:pStyle w:val="TableParagraph"/>
              <w:jc w:val="both"/>
              <w:rPr>
                <w:rFonts w:ascii="Times New Roman"/>
              </w:rPr>
            </w:pPr>
          </w:p>
        </w:tc>
        <w:tc>
          <w:tcPr>
            <w:tcW w:w="850" w:type="dxa"/>
          </w:tcPr>
          <w:p w14:paraId="00A1545F" w14:textId="77777777" w:rsidR="000E2E95" w:rsidRPr="005669CE" w:rsidRDefault="000E2E95" w:rsidP="00CE74C2">
            <w:pPr>
              <w:pStyle w:val="TableParagraph"/>
              <w:jc w:val="both"/>
              <w:rPr>
                <w:rFonts w:ascii="Times New Roman"/>
              </w:rPr>
            </w:pPr>
          </w:p>
        </w:tc>
        <w:tc>
          <w:tcPr>
            <w:tcW w:w="709" w:type="dxa"/>
          </w:tcPr>
          <w:p w14:paraId="482E83F2" w14:textId="77777777" w:rsidR="000E2E95" w:rsidRPr="005669CE" w:rsidRDefault="000E2E95" w:rsidP="00CE74C2">
            <w:pPr>
              <w:pStyle w:val="TableParagraph"/>
              <w:jc w:val="both"/>
              <w:rPr>
                <w:rFonts w:ascii="Times New Roman"/>
              </w:rPr>
            </w:pPr>
          </w:p>
        </w:tc>
        <w:tc>
          <w:tcPr>
            <w:tcW w:w="723" w:type="dxa"/>
          </w:tcPr>
          <w:p w14:paraId="3B88C70A" w14:textId="77777777" w:rsidR="000E2E95" w:rsidRPr="005669CE" w:rsidRDefault="000E2E95" w:rsidP="00CE74C2">
            <w:pPr>
              <w:pStyle w:val="TableParagraph"/>
              <w:jc w:val="both"/>
              <w:rPr>
                <w:rFonts w:ascii="Times New Roman"/>
              </w:rPr>
            </w:pPr>
          </w:p>
        </w:tc>
        <w:tc>
          <w:tcPr>
            <w:tcW w:w="2969" w:type="dxa"/>
          </w:tcPr>
          <w:p w14:paraId="09488DB3" w14:textId="77777777" w:rsidR="000E2E95" w:rsidRPr="005669CE" w:rsidRDefault="000E2E95" w:rsidP="00CE74C2">
            <w:pPr>
              <w:pStyle w:val="TableParagraph"/>
              <w:jc w:val="both"/>
              <w:rPr>
                <w:rFonts w:ascii="Times New Roman"/>
              </w:rPr>
            </w:pPr>
          </w:p>
        </w:tc>
      </w:tr>
      <w:tr w:rsidR="000C10E3" w14:paraId="396C00AD" w14:textId="77777777" w:rsidTr="5AD33FE0">
        <w:trPr>
          <w:trHeight w:val="432"/>
        </w:trPr>
        <w:tc>
          <w:tcPr>
            <w:tcW w:w="442" w:type="dxa"/>
          </w:tcPr>
          <w:p w14:paraId="60F4461D" w14:textId="77777777" w:rsidR="000E2E95" w:rsidRPr="005669CE" w:rsidRDefault="00DB0A1C" w:rsidP="00CE74C2">
            <w:pPr>
              <w:pStyle w:val="TableParagraph"/>
              <w:spacing w:before="1"/>
              <w:ind w:left="9" w:right="111"/>
              <w:jc w:val="both"/>
            </w:pPr>
            <w:r w:rsidRPr="005669CE">
              <w:rPr>
                <w:lang w:val="fr-FR"/>
              </w:rPr>
              <w:t>3</w:t>
            </w:r>
          </w:p>
        </w:tc>
        <w:tc>
          <w:tcPr>
            <w:tcW w:w="2471" w:type="dxa"/>
          </w:tcPr>
          <w:p w14:paraId="1632BC53" w14:textId="77777777" w:rsidR="000E2E95" w:rsidRPr="005669CE" w:rsidRDefault="000E2E95" w:rsidP="00CE74C2">
            <w:pPr>
              <w:pStyle w:val="TableParagraph"/>
              <w:jc w:val="both"/>
              <w:rPr>
                <w:rFonts w:ascii="Times New Roman"/>
              </w:rPr>
            </w:pPr>
          </w:p>
        </w:tc>
        <w:tc>
          <w:tcPr>
            <w:tcW w:w="531" w:type="dxa"/>
          </w:tcPr>
          <w:p w14:paraId="336F844F" w14:textId="77777777" w:rsidR="000E2E95" w:rsidRPr="005669CE" w:rsidRDefault="000E2E95" w:rsidP="00CE74C2">
            <w:pPr>
              <w:pStyle w:val="TableParagraph"/>
              <w:jc w:val="both"/>
              <w:rPr>
                <w:rFonts w:ascii="Times New Roman"/>
              </w:rPr>
            </w:pPr>
          </w:p>
        </w:tc>
        <w:tc>
          <w:tcPr>
            <w:tcW w:w="668" w:type="dxa"/>
          </w:tcPr>
          <w:p w14:paraId="5833A177" w14:textId="77777777" w:rsidR="000E2E95" w:rsidRPr="005669CE" w:rsidRDefault="000E2E95" w:rsidP="00CE74C2">
            <w:pPr>
              <w:pStyle w:val="TableParagraph"/>
              <w:jc w:val="both"/>
              <w:rPr>
                <w:rFonts w:ascii="Times New Roman"/>
              </w:rPr>
            </w:pPr>
          </w:p>
        </w:tc>
        <w:tc>
          <w:tcPr>
            <w:tcW w:w="850" w:type="dxa"/>
          </w:tcPr>
          <w:p w14:paraId="4FC6391B" w14:textId="77777777" w:rsidR="000E2E95" w:rsidRPr="005669CE" w:rsidRDefault="000E2E95" w:rsidP="00CE74C2">
            <w:pPr>
              <w:pStyle w:val="TableParagraph"/>
              <w:jc w:val="both"/>
              <w:rPr>
                <w:rFonts w:ascii="Times New Roman"/>
              </w:rPr>
            </w:pPr>
          </w:p>
        </w:tc>
        <w:tc>
          <w:tcPr>
            <w:tcW w:w="709" w:type="dxa"/>
          </w:tcPr>
          <w:p w14:paraId="0289A9B6" w14:textId="77777777" w:rsidR="000E2E95" w:rsidRPr="005669CE" w:rsidRDefault="000E2E95" w:rsidP="00CE74C2">
            <w:pPr>
              <w:pStyle w:val="TableParagraph"/>
              <w:jc w:val="both"/>
              <w:rPr>
                <w:rFonts w:ascii="Times New Roman"/>
              </w:rPr>
            </w:pPr>
          </w:p>
        </w:tc>
        <w:tc>
          <w:tcPr>
            <w:tcW w:w="723" w:type="dxa"/>
          </w:tcPr>
          <w:p w14:paraId="764069FB" w14:textId="77777777" w:rsidR="000E2E95" w:rsidRPr="005669CE" w:rsidRDefault="000E2E95" w:rsidP="00CE74C2">
            <w:pPr>
              <w:pStyle w:val="TableParagraph"/>
              <w:jc w:val="both"/>
              <w:rPr>
                <w:rFonts w:ascii="Times New Roman"/>
              </w:rPr>
            </w:pPr>
          </w:p>
        </w:tc>
        <w:tc>
          <w:tcPr>
            <w:tcW w:w="2969" w:type="dxa"/>
          </w:tcPr>
          <w:p w14:paraId="202EAB3D" w14:textId="77777777" w:rsidR="000E2E95" w:rsidRPr="005669CE" w:rsidRDefault="000E2E95" w:rsidP="00CE74C2">
            <w:pPr>
              <w:pStyle w:val="TableParagraph"/>
              <w:jc w:val="both"/>
              <w:rPr>
                <w:rFonts w:ascii="Times New Roman"/>
              </w:rPr>
            </w:pPr>
          </w:p>
        </w:tc>
      </w:tr>
      <w:tr w:rsidR="000C10E3" w14:paraId="7DEDE0CE" w14:textId="77777777" w:rsidTr="5AD33FE0">
        <w:trPr>
          <w:trHeight w:val="432"/>
        </w:trPr>
        <w:tc>
          <w:tcPr>
            <w:tcW w:w="442" w:type="dxa"/>
          </w:tcPr>
          <w:p w14:paraId="7F62CB8E" w14:textId="77777777" w:rsidR="000E2E95" w:rsidRPr="005669CE" w:rsidRDefault="00DB0A1C" w:rsidP="00CE74C2">
            <w:pPr>
              <w:pStyle w:val="TableParagraph"/>
              <w:spacing w:before="1"/>
              <w:ind w:left="9" w:right="111"/>
              <w:jc w:val="both"/>
            </w:pPr>
            <w:r w:rsidRPr="005669CE">
              <w:rPr>
                <w:lang w:val="fr-FR"/>
              </w:rPr>
              <w:t>4</w:t>
            </w:r>
          </w:p>
        </w:tc>
        <w:tc>
          <w:tcPr>
            <w:tcW w:w="2471" w:type="dxa"/>
          </w:tcPr>
          <w:p w14:paraId="0C27F735" w14:textId="77777777" w:rsidR="000E2E95" w:rsidRPr="005669CE" w:rsidRDefault="000E2E95" w:rsidP="00CE74C2">
            <w:pPr>
              <w:pStyle w:val="TableParagraph"/>
              <w:jc w:val="both"/>
              <w:rPr>
                <w:rFonts w:ascii="Times New Roman"/>
              </w:rPr>
            </w:pPr>
          </w:p>
        </w:tc>
        <w:tc>
          <w:tcPr>
            <w:tcW w:w="531" w:type="dxa"/>
          </w:tcPr>
          <w:p w14:paraId="74436007" w14:textId="77777777" w:rsidR="000E2E95" w:rsidRPr="005669CE" w:rsidRDefault="000E2E95" w:rsidP="00CE74C2">
            <w:pPr>
              <w:pStyle w:val="TableParagraph"/>
              <w:jc w:val="both"/>
              <w:rPr>
                <w:rFonts w:ascii="Times New Roman"/>
              </w:rPr>
            </w:pPr>
          </w:p>
        </w:tc>
        <w:tc>
          <w:tcPr>
            <w:tcW w:w="668" w:type="dxa"/>
          </w:tcPr>
          <w:p w14:paraId="57C7DA16" w14:textId="77777777" w:rsidR="000E2E95" w:rsidRPr="005669CE" w:rsidRDefault="000E2E95" w:rsidP="00CE74C2">
            <w:pPr>
              <w:pStyle w:val="TableParagraph"/>
              <w:jc w:val="both"/>
              <w:rPr>
                <w:rFonts w:ascii="Times New Roman"/>
              </w:rPr>
            </w:pPr>
          </w:p>
        </w:tc>
        <w:tc>
          <w:tcPr>
            <w:tcW w:w="850" w:type="dxa"/>
          </w:tcPr>
          <w:p w14:paraId="29066D6A" w14:textId="77777777" w:rsidR="000E2E95" w:rsidRPr="005669CE" w:rsidRDefault="000E2E95" w:rsidP="00CE74C2">
            <w:pPr>
              <w:pStyle w:val="TableParagraph"/>
              <w:jc w:val="both"/>
              <w:rPr>
                <w:rFonts w:ascii="Times New Roman"/>
              </w:rPr>
            </w:pPr>
          </w:p>
        </w:tc>
        <w:tc>
          <w:tcPr>
            <w:tcW w:w="709" w:type="dxa"/>
          </w:tcPr>
          <w:p w14:paraId="76A032CD" w14:textId="77777777" w:rsidR="000E2E95" w:rsidRPr="005669CE" w:rsidRDefault="000E2E95" w:rsidP="00CE74C2">
            <w:pPr>
              <w:pStyle w:val="TableParagraph"/>
              <w:jc w:val="both"/>
              <w:rPr>
                <w:rFonts w:ascii="Times New Roman"/>
              </w:rPr>
            </w:pPr>
          </w:p>
        </w:tc>
        <w:tc>
          <w:tcPr>
            <w:tcW w:w="723" w:type="dxa"/>
          </w:tcPr>
          <w:p w14:paraId="7AC9E49F" w14:textId="77777777" w:rsidR="000E2E95" w:rsidRPr="005669CE" w:rsidRDefault="000E2E95" w:rsidP="00CE74C2">
            <w:pPr>
              <w:pStyle w:val="TableParagraph"/>
              <w:jc w:val="both"/>
              <w:rPr>
                <w:rFonts w:ascii="Times New Roman"/>
              </w:rPr>
            </w:pPr>
          </w:p>
        </w:tc>
        <w:tc>
          <w:tcPr>
            <w:tcW w:w="2969" w:type="dxa"/>
          </w:tcPr>
          <w:p w14:paraId="2E54953C" w14:textId="77777777" w:rsidR="000E2E95" w:rsidRPr="005669CE" w:rsidRDefault="000E2E95" w:rsidP="00CE74C2">
            <w:pPr>
              <w:pStyle w:val="TableParagraph"/>
              <w:jc w:val="both"/>
              <w:rPr>
                <w:rFonts w:ascii="Times New Roman"/>
              </w:rPr>
            </w:pPr>
          </w:p>
        </w:tc>
      </w:tr>
      <w:tr w:rsidR="000C10E3" w14:paraId="603044D3" w14:textId="77777777" w:rsidTr="5AD33FE0">
        <w:trPr>
          <w:trHeight w:val="432"/>
        </w:trPr>
        <w:tc>
          <w:tcPr>
            <w:tcW w:w="442" w:type="dxa"/>
          </w:tcPr>
          <w:p w14:paraId="29D64004" w14:textId="77777777" w:rsidR="000E2E95" w:rsidRPr="005669CE" w:rsidRDefault="00DB0A1C" w:rsidP="00CE74C2">
            <w:pPr>
              <w:pStyle w:val="TableParagraph"/>
              <w:spacing w:before="1"/>
              <w:ind w:left="9" w:right="111"/>
              <w:jc w:val="both"/>
            </w:pPr>
            <w:r w:rsidRPr="005669CE">
              <w:rPr>
                <w:lang w:val="fr-FR"/>
              </w:rPr>
              <w:t>5</w:t>
            </w:r>
          </w:p>
        </w:tc>
        <w:tc>
          <w:tcPr>
            <w:tcW w:w="2471" w:type="dxa"/>
          </w:tcPr>
          <w:p w14:paraId="1B6292A0" w14:textId="77777777" w:rsidR="000E2E95" w:rsidRPr="005669CE" w:rsidRDefault="000E2E95" w:rsidP="00CE74C2">
            <w:pPr>
              <w:pStyle w:val="TableParagraph"/>
              <w:jc w:val="both"/>
              <w:rPr>
                <w:rFonts w:ascii="Times New Roman"/>
              </w:rPr>
            </w:pPr>
          </w:p>
        </w:tc>
        <w:tc>
          <w:tcPr>
            <w:tcW w:w="531" w:type="dxa"/>
          </w:tcPr>
          <w:p w14:paraId="2F9FCE4E" w14:textId="77777777" w:rsidR="000E2E95" w:rsidRPr="005669CE" w:rsidRDefault="000E2E95" w:rsidP="00CE74C2">
            <w:pPr>
              <w:pStyle w:val="TableParagraph"/>
              <w:jc w:val="both"/>
              <w:rPr>
                <w:rFonts w:ascii="Times New Roman"/>
              </w:rPr>
            </w:pPr>
          </w:p>
        </w:tc>
        <w:tc>
          <w:tcPr>
            <w:tcW w:w="668" w:type="dxa"/>
          </w:tcPr>
          <w:p w14:paraId="20BA596F" w14:textId="77777777" w:rsidR="000E2E95" w:rsidRPr="005669CE" w:rsidRDefault="000E2E95" w:rsidP="00CE74C2">
            <w:pPr>
              <w:pStyle w:val="TableParagraph"/>
              <w:jc w:val="both"/>
              <w:rPr>
                <w:rFonts w:ascii="Times New Roman"/>
              </w:rPr>
            </w:pPr>
          </w:p>
        </w:tc>
        <w:tc>
          <w:tcPr>
            <w:tcW w:w="850" w:type="dxa"/>
          </w:tcPr>
          <w:p w14:paraId="2805BBA9" w14:textId="77777777" w:rsidR="000E2E95" w:rsidRPr="005669CE" w:rsidRDefault="000E2E95" w:rsidP="00CE74C2">
            <w:pPr>
              <w:pStyle w:val="TableParagraph"/>
              <w:jc w:val="both"/>
              <w:rPr>
                <w:rFonts w:ascii="Times New Roman"/>
              </w:rPr>
            </w:pPr>
          </w:p>
        </w:tc>
        <w:tc>
          <w:tcPr>
            <w:tcW w:w="709" w:type="dxa"/>
          </w:tcPr>
          <w:p w14:paraId="7EFD0F0B" w14:textId="77777777" w:rsidR="000E2E95" w:rsidRPr="005669CE" w:rsidRDefault="000E2E95" w:rsidP="00CE74C2">
            <w:pPr>
              <w:pStyle w:val="TableParagraph"/>
              <w:jc w:val="both"/>
              <w:rPr>
                <w:rFonts w:ascii="Times New Roman"/>
              </w:rPr>
            </w:pPr>
          </w:p>
        </w:tc>
        <w:tc>
          <w:tcPr>
            <w:tcW w:w="723" w:type="dxa"/>
          </w:tcPr>
          <w:p w14:paraId="4D37123B" w14:textId="77777777" w:rsidR="000E2E95" w:rsidRPr="005669CE" w:rsidRDefault="000E2E95" w:rsidP="00CE74C2">
            <w:pPr>
              <w:pStyle w:val="TableParagraph"/>
              <w:jc w:val="both"/>
              <w:rPr>
                <w:rFonts w:ascii="Times New Roman"/>
              </w:rPr>
            </w:pPr>
          </w:p>
        </w:tc>
        <w:tc>
          <w:tcPr>
            <w:tcW w:w="2969" w:type="dxa"/>
          </w:tcPr>
          <w:p w14:paraId="54C33760" w14:textId="77777777" w:rsidR="000E2E95" w:rsidRPr="005669CE" w:rsidRDefault="000E2E95" w:rsidP="00CE74C2">
            <w:pPr>
              <w:pStyle w:val="TableParagraph"/>
              <w:jc w:val="both"/>
              <w:rPr>
                <w:rFonts w:ascii="Times New Roman"/>
              </w:rPr>
            </w:pPr>
          </w:p>
        </w:tc>
      </w:tr>
      <w:tr w:rsidR="000C10E3" w14:paraId="7F823B22" w14:textId="77777777" w:rsidTr="5AD33FE0">
        <w:trPr>
          <w:trHeight w:val="432"/>
        </w:trPr>
        <w:tc>
          <w:tcPr>
            <w:tcW w:w="442" w:type="dxa"/>
          </w:tcPr>
          <w:p w14:paraId="36CD4285" w14:textId="77777777" w:rsidR="000E2E95" w:rsidRPr="005669CE" w:rsidRDefault="00DB0A1C" w:rsidP="00CE74C2">
            <w:pPr>
              <w:pStyle w:val="TableParagraph"/>
              <w:spacing w:before="1"/>
              <w:ind w:left="9" w:right="111"/>
              <w:jc w:val="both"/>
            </w:pPr>
            <w:r w:rsidRPr="005669CE">
              <w:rPr>
                <w:lang w:val="fr-FR"/>
              </w:rPr>
              <w:t>6</w:t>
            </w:r>
          </w:p>
        </w:tc>
        <w:tc>
          <w:tcPr>
            <w:tcW w:w="2471" w:type="dxa"/>
          </w:tcPr>
          <w:p w14:paraId="7B7DC96C" w14:textId="77777777" w:rsidR="000E2E95" w:rsidRPr="005669CE" w:rsidRDefault="000E2E95" w:rsidP="00CE74C2">
            <w:pPr>
              <w:pStyle w:val="TableParagraph"/>
              <w:jc w:val="both"/>
              <w:rPr>
                <w:rFonts w:ascii="Times New Roman"/>
              </w:rPr>
            </w:pPr>
          </w:p>
        </w:tc>
        <w:tc>
          <w:tcPr>
            <w:tcW w:w="531" w:type="dxa"/>
          </w:tcPr>
          <w:p w14:paraId="23A51DA9" w14:textId="77777777" w:rsidR="000E2E95" w:rsidRPr="005669CE" w:rsidRDefault="000E2E95" w:rsidP="00CE74C2">
            <w:pPr>
              <w:pStyle w:val="TableParagraph"/>
              <w:jc w:val="both"/>
              <w:rPr>
                <w:rFonts w:ascii="Times New Roman"/>
              </w:rPr>
            </w:pPr>
          </w:p>
        </w:tc>
        <w:tc>
          <w:tcPr>
            <w:tcW w:w="668" w:type="dxa"/>
          </w:tcPr>
          <w:p w14:paraId="106FA5C1" w14:textId="77777777" w:rsidR="000E2E95" w:rsidRPr="005669CE" w:rsidRDefault="000E2E95" w:rsidP="00CE74C2">
            <w:pPr>
              <w:pStyle w:val="TableParagraph"/>
              <w:jc w:val="both"/>
              <w:rPr>
                <w:rFonts w:ascii="Times New Roman"/>
              </w:rPr>
            </w:pPr>
          </w:p>
        </w:tc>
        <w:tc>
          <w:tcPr>
            <w:tcW w:w="850" w:type="dxa"/>
          </w:tcPr>
          <w:p w14:paraId="263689EC" w14:textId="77777777" w:rsidR="000E2E95" w:rsidRPr="005669CE" w:rsidRDefault="000E2E95" w:rsidP="00CE74C2">
            <w:pPr>
              <w:pStyle w:val="TableParagraph"/>
              <w:jc w:val="both"/>
              <w:rPr>
                <w:rFonts w:ascii="Times New Roman"/>
              </w:rPr>
            </w:pPr>
          </w:p>
        </w:tc>
        <w:tc>
          <w:tcPr>
            <w:tcW w:w="709" w:type="dxa"/>
          </w:tcPr>
          <w:p w14:paraId="1555EE0A" w14:textId="77777777" w:rsidR="000E2E95" w:rsidRPr="005669CE" w:rsidRDefault="000E2E95" w:rsidP="00CE74C2">
            <w:pPr>
              <w:pStyle w:val="TableParagraph"/>
              <w:jc w:val="both"/>
              <w:rPr>
                <w:rFonts w:ascii="Times New Roman"/>
              </w:rPr>
            </w:pPr>
          </w:p>
        </w:tc>
        <w:tc>
          <w:tcPr>
            <w:tcW w:w="723" w:type="dxa"/>
          </w:tcPr>
          <w:p w14:paraId="1C99BE2A" w14:textId="77777777" w:rsidR="000E2E95" w:rsidRPr="005669CE" w:rsidRDefault="000E2E95" w:rsidP="00CE74C2">
            <w:pPr>
              <w:pStyle w:val="TableParagraph"/>
              <w:jc w:val="both"/>
              <w:rPr>
                <w:rFonts w:ascii="Times New Roman"/>
              </w:rPr>
            </w:pPr>
          </w:p>
        </w:tc>
        <w:tc>
          <w:tcPr>
            <w:tcW w:w="2969" w:type="dxa"/>
          </w:tcPr>
          <w:p w14:paraId="51212481" w14:textId="77777777" w:rsidR="000E2E95" w:rsidRPr="005669CE" w:rsidRDefault="000E2E95" w:rsidP="00CE74C2">
            <w:pPr>
              <w:pStyle w:val="TableParagraph"/>
              <w:jc w:val="both"/>
              <w:rPr>
                <w:rFonts w:ascii="Times New Roman"/>
              </w:rPr>
            </w:pPr>
          </w:p>
        </w:tc>
      </w:tr>
      <w:tr w:rsidR="000C10E3" w14:paraId="6667C779" w14:textId="77777777" w:rsidTr="5AD33FE0">
        <w:trPr>
          <w:trHeight w:val="432"/>
        </w:trPr>
        <w:tc>
          <w:tcPr>
            <w:tcW w:w="442" w:type="dxa"/>
          </w:tcPr>
          <w:p w14:paraId="42237220" w14:textId="77777777" w:rsidR="000E2E95" w:rsidRPr="005669CE" w:rsidRDefault="00DB0A1C" w:rsidP="00CE74C2">
            <w:pPr>
              <w:pStyle w:val="TableParagraph"/>
              <w:spacing w:before="1"/>
              <w:ind w:left="9" w:right="111"/>
              <w:jc w:val="both"/>
            </w:pPr>
            <w:r w:rsidRPr="005669CE">
              <w:rPr>
                <w:lang w:val="fr-FR"/>
              </w:rPr>
              <w:t>7</w:t>
            </w:r>
          </w:p>
        </w:tc>
        <w:tc>
          <w:tcPr>
            <w:tcW w:w="2471" w:type="dxa"/>
          </w:tcPr>
          <w:p w14:paraId="64DE0951" w14:textId="77777777" w:rsidR="000E2E95" w:rsidRPr="005669CE" w:rsidRDefault="000E2E95" w:rsidP="00CE74C2">
            <w:pPr>
              <w:pStyle w:val="TableParagraph"/>
              <w:jc w:val="both"/>
              <w:rPr>
                <w:rFonts w:ascii="Times New Roman"/>
              </w:rPr>
            </w:pPr>
          </w:p>
        </w:tc>
        <w:tc>
          <w:tcPr>
            <w:tcW w:w="531" w:type="dxa"/>
          </w:tcPr>
          <w:p w14:paraId="35186482" w14:textId="77777777" w:rsidR="000E2E95" w:rsidRPr="005669CE" w:rsidRDefault="000E2E95" w:rsidP="00CE74C2">
            <w:pPr>
              <w:pStyle w:val="TableParagraph"/>
              <w:jc w:val="both"/>
              <w:rPr>
                <w:rFonts w:ascii="Times New Roman"/>
              </w:rPr>
            </w:pPr>
          </w:p>
        </w:tc>
        <w:tc>
          <w:tcPr>
            <w:tcW w:w="668" w:type="dxa"/>
          </w:tcPr>
          <w:p w14:paraId="03D4A147" w14:textId="77777777" w:rsidR="000E2E95" w:rsidRPr="005669CE" w:rsidRDefault="000E2E95" w:rsidP="00CE74C2">
            <w:pPr>
              <w:pStyle w:val="TableParagraph"/>
              <w:jc w:val="both"/>
              <w:rPr>
                <w:rFonts w:ascii="Times New Roman"/>
              </w:rPr>
            </w:pPr>
          </w:p>
        </w:tc>
        <w:tc>
          <w:tcPr>
            <w:tcW w:w="850" w:type="dxa"/>
          </w:tcPr>
          <w:p w14:paraId="0F3BD04D" w14:textId="77777777" w:rsidR="000E2E95" w:rsidRPr="005669CE" w:rsidRDefault="000E2E95" w:rsidP="00CE74C2">
            <w:pPr>
              <w:pStyle w:val="TableParagraph"/>
              <w:jc w:val="both"/>
              <w:rPr>
                <w:rFonts w:ascii="Times New Roman"/>
              </w:rPr>
            </w:pPr>
          </w:p>
        </w:tc>
        <w:tc>
          <w:tcPr>
            <w:tcW w:w="709" w:type="dxa"/>
          </w:tcPr>
          <w:p w14:paraId="04B2D399" w14:textId="77777777" w:rsidR="000E2E95" w:rsidRPr="005669CE" w:rsidRDefault="000E2E95" w:rsidP="00CE74C2">
            <w:pPr>
              <w:pStyle w:val="TableParagraph"/>
              <w:jc w:val="both"/>
              <w:rPr>
                <w:rFonts w:ascii="Times New Roman"/>
              </w:rPr>
            </w:pPr>
          </w:p>
        </w:tc>
        <w:tc>
          <w:tcPr>
            <w:tcW w:w="723" w:type="dxa"/>
          </w:tcPr>
          <w:p w14:paraId="5B6C3BD8" w14:textId="77777777" w:rsidR="000E2E95" w:rsidRPr="005669CE" w:rsidRDefault="000E2E95" w:rsidP="00CE74C2">
            <w:pPr>
              <w:pStyle w:val="TableParagraph"/>
              <w:jc w:val="both"/>
              <w:rPr>
                <w:rFonts w:ascii="Times New Roman"/>
              </w:rPr>
            </w:pPr>
          </w:p>
        </w:tc>
        <w:tc>
          <w:tcPr>
            <w:tcW w:w="2969" w:type="dxa"/>
          </w:tcPr>
          <w:p w14:paraId="6240AE33" w14:textId="77777777" w:rsidR="000E2E95" w:rsidRPr="005669CE" w:rsidRDefault="000E2E95" w:rsidP="00CE74C2">
            <w:pPr>
              <w:pStyle w:val="TableParagraph"/>
              <w:jc w:val="both"/>
              <w:rPr>
                <w:rFonts w:ascii="Times New Roman"/>
              </w:rPr>
            </w:pPr>
          </w:p>
        </w:tc>
      </w:tr>
      <w:tr w:rsidR="000C10E3" w14:paraId="6E53E3CD" w14:textId="77777777" w:rsidTr="5AD33FE0">
        <w:trPr>
          <w:trHeight w:val="432"/>
        </w:trPr>
        <w:tc>
          <w:tcPr>
            <w:tcW w:w="442" w:type="dxa"/>
          </w:tcPr>
          <w:p w14:paraId="365C4AD8" w14:textId="77777777" w:rsidR="000E2E95" w:rsidRPr="005669CE" w:rsidRDefault="00DB0A1C" w:rsidP="00CE74C2">
            <w:pPr>
              <w:pStyle w:val="TableParagraph"/>
              <w:spacing w:line="268" w:lineRule="exact"/>
              <w:ind w:left="9" w:right="111"/>
              <w:jc w:val="both"/>
            </w:pPr>
            <w:r w:rsidRPr="005669CE">
              <w:rPr>
                <w:lang w:val="fr-FR"/>
              </w:rPr>
              <w:t>8</w:t>
            </w:r>
          </w:p>
        </w:tc>
        <w:tc>
          <w:tcPr>
            <w:tcW w:w="2471" w:type="dxa"/>
          </w:tcPr>
          <w:p w14:paraId="0DB00ACD" w14:textId="77777777" w:rsidR="000E2E95" w:rsidRPr="005669CE" w:rsidRDefault="000E2E95" w:rsidP="00CE74C2">
            <w:pPr>
              <w:pStyle w:val="TableParagraph"/>
              <w:jc w:val="both"/>
              <w:rPr>
                <w:rFonts w:ascii="Times New Roman"/>
              </w:rPr>
            </w:pPr>
          </w:p>
        </w:tc>
        <w:tc>
          <w:tcPr>
            <w:tcW w:w="531" w:type="dxa"/>
          </w:tcPr>
          <w:p w14:paraId="359B1524" w14:textId="77777777" w:rsidR="000E2E95" w:rsidRPr="005669CE" w:rsidRDefault="000E2E95" w:rsidP="00CE74C2">
            <w:pPr>
              <w:pStyle w:val="TableParagraph"/>
              <w:jc w:val="both"/>
              <w:rPr>
                <w:rFonts w:ascii="Times New Roman"/>
              </w:rPr>
            </w:pPr>
          </w:p>
        </w:tc>
        <w:tc>
          <w:tcPr>
            <w:tcW w:w="668" w:type="dxa"/>
          </w:tcPr>
          <w:p w14:paraId="1986E889" w14:textId="77777777" w:rsidR="000E2E95" w:rsidRPr="005669CE" w:rsidRDefault="000E2E95" w:rsidP="00CE74C2">
            <w:pPr>
              <w:pStyle w:val="TableParagraph"/>
              <w:jc w:val="both"/>
              <w:rPr>
                <w:rFonts w:ascii="Times New Roman"/>
              </w:rPr>
            </w:pPr>
          </w:p>
        </w:tc>
        <w:tc>
          <w:tcPr>
            <w:tcW w:w="850" w:type="dxa"/>
          </w:tcPr>
          <w:p w14:paraId="67939D2B" w14:textId="77777777" w:rsidR="000E2E95" w:rsidRPr="005669CE" w:rsidRDefault="000E2E95" w:rsidP="00CE74C2">
            <w:pPr>
              <w:pStyle w:val="TableParagraph"/>
              <w:jc w:val="both"/>
              <w:rPr>
                <w:rFonts w:ascii="Times New Roman"/>
              </w:rPr>
            </w:pPr>
          </w:p>
        </w:tc>
        <w:tc>
          <w:tcPr>
            <w:tcW w:w="709" w:type="dxa"/>
          </w:tcPr>
          <w:p w14:paraId="25016CD0" w14:textId="77777777" w:rsidR="000E2E95" w:rsidRPr="005669CE" w:rsidRDefault="000E2E95" w:rsidP="00CE74C2">
            <w:pPr>
              <w:pStyle w:val="TableParagraph"/>
              <w:jc w:val="both"/>
              <w:rPr>
                <w:rFonts w:ascii="Times New Roman"/>
              </w:rPr>
            </w:pPr>
          </w:p>
        </w:tc>
        <w:tc>
          <w:tcPr>
            <w:tcW w:w="723" w:type="dxa"/>
          </w:tcPr>
          <w:p w14:paraId="42B83A82" w14:textId="77777777" w:rsidR="000E2E95" w:rsidRPr="005669CE" w:rsidRDefault="000E2E95" w:rsidP="00CE74C2">
            <w:pPr>
              <w:pStyle w:val="TableParagraph"/>
              <w:jc w:val="both"/>
              <w:rPr>
                <w:rFonts w:ascii="Times New Roman"/>
              </w:rPr>
            </w:pPr>
          </w:p>
        </w:tc>
        <w:tc>
          <w:tcPr>
            <w:tcW w:w="2969" w:type="dxa"/>
          </w:tcPr>
          <w:p w14:paraId="30A969FD" w14:textId="77777777" w:rsidR="000E2E95" w:rsidRPr="005669CE" w:rsidRDefault="000E2E95" w:rsidP="00CE74C2">
            <w:pPr>
              <w:pStyle w:val="TableParagraph"/>
              <w:jc w:val="both"/>
              <w:rPr>
                <w:rFonts w:ascii="Times New Roman"/>
              </w:rPr>
            </w:pPr>
          </w:p>
        </w:tc>
      </w:tr>
      <w:tr w:rsidR="000C10E3" w14:paraId="70DE430C" w14:textId="77777777" w:rsidTr="5AD33FE0">
        <w:trPr>
          <w:trHeight w:val="432"/>
        </w:trPr>
        <w:tc>
          <w:tcPr>
            <w:tcW w:w="442" w:type="dxa"/>
          </w:tcPr>
          <w:p w14:paraId="235727F6" w14:textId="77777777" w:rsidR="000E2E95" w:rsidRPr="005669CE" w:rsidRDefault="00DB0A1C" w:rsidP="00CE74C2">
            <w:pPr>
              <w:pStyle w:val="TableParagraph"/>
              <w:spacing w:line="268" w:lineRule="exact"/>
              <w:ind w:left="9" w:right="111"/>
              <w:jc w:val="both"/>
            </w:pPr>
            <w:r w:rsidRPr="005669CE">
              <w:rPr>
                <w:lang w:val="fr-FR"/>
              </w:rPr>
              <w:t>9</w:t>
            </w:r>
          </w:p>
        </w:tc>
        <w:tc>
          <w:tcPr>
            <w:tcW w:w="2471" w:type="dxa"/>
          </w:tcPr>
          <w:p w14:paraId="61A4BED7" w14:textId="77777777" w:rsidR="000E2E95" w:rsidRPr="005669CE" w:rsidRDefault="000E2E95" w:rsidP="00CE74C2">
            <w:pPr>
              <w:pStyle w:val="TableParagraph"/>
              <w:jc w:val="both"/>
              <w:rPr>
                <w:rFonts w:ascii="Times New Roman"/>
              </w:rPr>
            </w:pPr>
          </w:p>
        </w:tc>
        <w:tc>
          <w:tcPr>
            <w:tcW w:w="531" w:type="dxa"/>
          </w:tcPr>
          <w:p w14:paraId="083A19F9" w14:textId="77777777" w:rsidR="000E2E95" w:rsidRPr="005669CE" w:rsidRDefault="000E2E95" w:rsidP="00CE74C2">
            <w:pPr>
              <w:pStyle w:val="TableParagraph"/>
              <w:jc w:val="both"/>
              <w:rPr>
                <w:rFonts w:ascii="Times New Roman"/>
              </w:rPr>
            </w:pPr>
          </w:p>
        </w:tc>
        <w:tc>
          <w:tcPr>
            <w:tcW w:w="668" w:type="dxa"/>
          </w:tcPr>
          <w:p w14:paraId="38030D18" w14:textId="77777777" w:rsidR="000E2E95" w:rsidRPr="005669CE" w:rsidRDefault="000E2E95" w:rsidP="00CE74C2">
            <w:pPr>
              <w:pStyle w:val="TableParagraph"/>
              <w:jc w:val="both"/>
              <w:rPr>
                <w:rFonts w:ascii="Times New Roman"/>
              </w:rPr>
            </w:pPr>
          </w:p>
        </w:tc>
        <w:tc>
          <w:tcPr>
            <w:tcW w:w="850" w:type="dxa"/>
          </w:tcPr>
          <w:p w14:paraId="681A2EED" w14:textId="77777777" w:rsidR="000E2E95" w:rsidRPr="005669CE" w:rsidRDefault="000E2E95" w:rsidP="00CE74C2">
            <w:pPr>
              <w:pStyle w:val="TableParagraph"/>
              <w:jc w:val="both"/>
              <w:rPr>
                <w:rFonts w:ascii="Times New Roman"/>
              </w:rPr>
            </w:pPr>
          </w:p>
        </w:tc>
        <w:tc>
          <w:tcPr>
            <w:tcW w:w="709" w:type="dxa"/>
          </w:tcPr>
          <w:p w14:paraId="4F8738CD" w14:textId="77777777" w:rsidR="000E2E95" w:rsidRPr="005669CE" w:rsidRDefault="000E2E95" w:rsidP="00CE74C2">
            <w:pPr>
              <w:pStyle w:val="TableParagraph"/>
              <w:jc w:val="both"/>
              <w:rPr>
                <w:rFonts w:ascii="Times New Roman"/>
              </w:rPr>
            </w:pPr>
          </w:p>
        </w:tc>
        <w:tc>
          <w:tcPr>
            <w:tcW w:w="723" w:type="dxa"/>
          </w:tcPr>
          <w:p w14:paraId="119AF03C" w14:textId="77777777" w:rsidR="000E2E95" w:rsidRPr="005669CE" w:rsidRDefault="000E2E95" w:rsidP="00CE74C2">
            <w:pPr>
              <w:pStyle w:val="TableParagraph"/>
              <w:jc w:val="both"/>
              <w:rPr>
                <w:rFonts w:ascii="Times New Roman"/>
              </w:rPr>
            </w:pPr>
          </w:p>
        </w:tc>
        <w:tc>
          <w:tcPr>
            <w:tcW w:w="2969" w:type="dxa"/>
          </w:tcPr>
          <w:p w14:paraId="7FFEE684" w14:textId="77777777" w:rsidR="000E2E95" w:rsidRPr="005669CE" w:rsidRDefault="000E2E95" w:rsidP="00CE74C2">
            <w:pPr>
              <w:pStyle w:val="TableParagraph"/>
              <w:jc w:val="both"/>
              <w:rPr>
                <w:rFonts w:ascii="Times New Roman"/>
              </w:rPr>
            </w:pPr>
          </w:p>
        </w:tc>
      </w:tr>
      <w:tr w:rsidR="000C10E3" w14:paraId="1AAD25E7" w14:textId="77777777" w:rsidTr="5AD33FE0">
        <w:trPr>
          <w:trHeight w:val="432"/>
        </w:trPr>
        <w:tc>
          <w:tcPr>
            <w:tcW w:w="442" w:type="dxa"/>
          </w:tcPr>
          <w:p w14:paraId="19BF0F2F" w14:textId="77777777" w:rsidR="000E2E95" w:rsidRPr="005669CE" w:rsidRDefault="00DB0A1C" w:rsidP="00CE74C2">
            <w:pPr>
              <w:pStyle w:val="TableParagraph"/>
              <w:spacing w:line="268" w:lineRule="exact"/>
              <w:ind w:left="9"/>
              <w:jc w:val="both"/>
            </w:pPr>
            <w:r w:rsidRPr="005669CE">
              <w:rPr>
                <w:lang w:val="fr-FR"/>
              </w:rPr>
              <w:t>10</w:t>
            </w:r>
          </w:p>
        </w:tc>
        <w:tc>
          <w:tcPr>
            <w:tcW w:w="2471" w:type="dxa"/>
          </w:tcPr>
          <w:p w14:paraId="51B6403C" w14:textId="77777777" w:rsidR="000E2E95" w:rsidRPr="005669CE" w:rsidRDefault="000E2E95" w:rsidP="00CE74C2">
            <w:pPr>
              <w:pStyle w:val="TableParagraph"/>
              <w:jc w:val="both"/>
              <w:rPr>
                <w:rFonts w:ascii="Times New Roman"/>
              </w:rPr>
            </w:pPr>
          </w:p>
        </w:tc>
        <w:tc>
          <w:tcPr>
            <w:tcW w:w="531" w:type="dxa"/>
          </w:tcPr>
          <w:p w14:paraId="57CB268C" w14:textId="77777777" w:rsidR="000E2E95" w:rsidRPr="005669CE" w:rsidRDefault="000E2E95" w:rsidP="00CE74C2">
            <w:pPr>
              <w:pStyle w:val="TableParagraph"/>
              <w:jc w:val="both"/>
              <w:rPr>
                <w:rFonts w:ascii="Times New Roman"/>
              </w:rPr>
            </w:pPr>
          </w:p>
        </w:tc>
        <w:tc>
          <w:tcPr>
            <w:tcW w:w="668" w:type="dxa"/>
          </w:tcPr>
          <w:p w14:paraId="2792A027" w14:textId="77777777" w:rsidR="000E2E95" w:rsidRPr="005669CE" w:rsidRDefault="000E2E95" w:rsidP="00CE74C2">
            <w:pPr>
              <w:pStyle w:val="TableParagraph"/>
              <w:jc w:val="both"/>
              <w:rPr>
                <w:rFonts w:ascii="Times New Roman"/>
              </w:rPr>
            </w:pPr>
          </w:p>
        </w:tc>
        <w:tc>
          <w:tcPr>
            <w:tcW w:w="850" w:type="dxa"/>
          </w:tcPr>
          <w:p w14:paraId="3F16C319" w14:textId="77777777" w:rsidR="000E2E95" w:rsidRPr="005669CE" w:rsidRDefault="000E2E95" w:rsidP="00CE74C2">
            <w:pPr>
              <w:pStyle w:val="TableParagraph"/>
              <w:jc w:val="both"/>
              <w:rPr>
                <w:rFonts w:ascii="Times New Roman"/>
              </w:rPr>
            </w:pPr>
          </w:p>
        </w:tc>
        <w:tc>
          <w:tcPr>
            <w:tcW w:w="709" w:type="dxa"/>
          </w:tcPr>
          <w:p w14:paraId="67476222" w14:textId="77777777" w:rsidR="000E2E95" w:rsidRPr="005669CE" w:rsidRDefault="000E2E95" w:rsidP="00CE74C2">
            <w:pPr>
              <w:pStyle w:val="TableParagraph"/>
              <w:jc w:val="both"/>
              <w:rPr>
                <w:rFonts w:ascii="Times New Roman"/>
              </w:rPr>
            </w:pPr>
          </w:p>
        </w:tc>
        <w:tc>
          <w:tcPr>
            <w:tcW w:w="723" w:type="dxa"/>
          </w:tcPr>
          <w:p w14:paraId="388C9A34" w14:textId="77777777" w:rsidR="000E2E95" w:rsidRPr="005669CE" w:rsidRDefault="000E2E95" w:rsidP="00CE74C2">
            <w:pPr>
              <w:pStyle w:val="TableParagraph"/>
              <w:jc w:val="both"/>
              <w:rPr>
                <w:rFonts w:ascii="Times New Roman"/>
              </w:rPr>
            </w:pPr>
          </w:p>
        </w:tc>
        <w:tc>
          <w:tcPr>
            <w:tcW w:w="2969" w:type="dxa"/>
          </w:tcPr>
          <w:p w14:paraId="05048D4B" w14:textId="77777777" w:rsidR="000E2E95" w:rsidRPr="005669CE" w:rsidRDefault="000E2E95" w:rsidP="00CE74C2">
            <w:pPr>
              <w:pStyle w:val="TableParagraph"/>
              <w:jc w:val="both"/>
              <w:rPr>
                <w:rFonts w:ascii="Times New Roman"/>
              </w:rPr>
            </w:pPr>
          </w:p>
        </w:tc>
      </w:tr>
      <w:tr w:rsidR="000C10E3" w14:paraId="1D845013" w14:textId="77777777" w:rsidTr="5AD33FE0">
        <w:trPr>
          <w:trHeight w:val="432"/>
        </w:trPr>
        <w:tc>
          <w:tcPr>
            <w:tcW w:w="442" w:type="dxa"/>
          </w:tcPr>
          <w:p w14:paraId="7F93D679" w14:textId="77777777" w:rsidR="000E2E95" w:rsidRPr="005669CE" w:rsidRDefault="00DB0A1C" w:rsidP="00CE74C2">
            <w:pPr>
              <w:pStyle w:val="TableParagraph"/>
              <w:spacing w:line="268" w:lineRule="exact"/>
              <w:ind w:left="9"/>
              <w:jc w:val="both"/>
            </w:pPr>
            <w:r w:rsidRPr="005669CE">
              <w:rPr>
                <w:lang w:val="fr-FR"/>
              </w:rPr>
              <w:t>11</w:t>
            </w:r>
          </w:p>
        </w:tc>
        <w:tc>
          <w:tcPr>
            <w:tcW w:w="2471" w:type="dxa"/>
          </w:tcPr>
          <w:p w14:paraId="6597CBB4" w14:textId="77777777" w:rsidR="000E2E95" w:rsidRPr="005669CE" w:rsidRDefault="000E2E95" w:rsidP="00CE74C2">
            <w:pPr>
              <w:pStyle w:val="TableParagraph"/>
              <w:jc w:val="both"/>
              <w:rPr>
                <w:rFonts w:ascii="Times New Roman"/>
              </w:rPr>
            </w:pPr>
          </w:p>
        </w:tc>
        <w:tc>
          <w:tcPr>
            <w:tcW w:w="531" w:type="dxa"/>
          </w:tcPr>
          <w:p w14:paraId="0B6E9A07" w14:textId="77777777" w:rsidR="000E2E95" w:rsidRPr="005669CE" w:rsidRDefault="000E2E95" w:rsidP="00CE74C2">
            <w:pPr>
              <w:pStyle w:val="TableParagraph"/>
              <w:jc w:val="both"/>
              <w:rPr>
                <w:rFonts w:ascii="Times New Roman"/>
              </w:rPr>
            </w:pPr>
          </w:p>
        </w:tc>
        <w:tc>
          <w:tcPr>
            <w:tcW w:w="668" w:type="dxa"/>
          </w:tcPr>
          <w:p w14:paraId="2D17A5A8" w14:textId="77777777" w:rsidR="000E2E95" w:rsidRPr="005669CE" w:rsidRDefault="000E2E95" w:rsidP="00CE74C2">
            <w:pPr>
              <w:pStyle w:val="TableParagraph"/>
              <w:jc w:val="both"/>
              <w:rPr>
                <w:rFonts w:ascii="Times New Roman"/>
              </w:rPr>
            </w:pPr>
          </w:p>
        </w:tc>
        <w:tc>
          <w:tcPr>
            <w:tcW w:w="850" w:type="dxa"/>
          </w:tcPr>
          <w:p w14:paraId="7F3AF0D3" w14:textId="77777777" w:rsidR="000E2E95" w:rsidRPr="005669CE" w:rsidRDefault="000E2E95" w:rsidP="00CE74C2">
            <w:pPr>
              <w:pStyle w:val="TableParagraph"/>
              <w:jc w:val="both"/>
              <w:rPr>
                <w:rFonts w:ascii="Times New Roman"/>
              </w:rPr>
            </w:pPr>
          </w:p>
        </w:tc>
        <w:tc>
          <w:tcPr>
            <w:tcW w:w="709" w:type="dxa"/>
          </w:tcPr>
          <w:p w14:paraId="1335C3D8" w14:textId="77777777" w:rsidR="000E2E95" w:rsidRPr="005669CE" w:rsidRDefault="000E2E95" w:rsidP="00CE74C2">
            <w:pPr>
              <w:pStyle w:val="TableParagraph"/>
              <w:jc w:val="both"/>
              <w:rPr>
                <w:rFonts w:ascii="Times New Roman"/>
              </w:rPr>
            </w:pPr>
          </w:p>
        </w:tc>
        <w:tc>
          <w:tcPr>
            <w:tcW w:w="723" w:type="dxa"/>
          </w:tcPr>
          <w:p w14:paraId="10A6EC3F" w14:textId="77777777" w:rsidR="000E2E95" w:rsidRPr="005669CE" w:rsidRDefault="000E2E95" w:rsidP="00CE74C2">
            <w:pPr>
              <w:pStyle w:val="TableParagraph"/>
              <w:jc w:val="both"/>
              <w:rPr>
                <w:rFonts w:ascii="Times New Roman"/>
              </w:rPr>
            </w:pPr>
          </w:p>
        </w:tc>
        <w:tc>
          <w:tcPr>
            <w:tcW w:w="2969" w:type="dxa"/>
          </w:tcPr>
          <w:p w14:paraId="6EC1D7E5" w14:textId="77777777" w:rsidR="000E2E95" w:rsidRPr="005669CE" w:rsidRDefault="000E2E95" w:rsidP="00CE74C2">
            <w:pPr>
              <w:pStyle w:val="TableParagraph"/>
              <w:jc w:val="both"/>
              <w:rPr>
                <w:rFonts w:ascii="Times New Roman"/>
              </w:rPr>
            </w:pPr>
          </w:p>
        </w:tc>
      </w:tr>
      <w:tr w:rsidR="000C10E3" w14:paraId="4E458341" w14:textId="77777777" w:rsidTr="5AD33FE0">
        <w:trPr>
          <w:trHeight w:val="432"/>
        </w:trPr>
        <w:tc>
          <w:tcPr>
            <w:tcW w:w="442" w:type="dxa"/>
          </w:tcPr>
          <w:p w14:paraId="7800A152" w14:textId="77777777" w:rsidR="000E2E95" w:rsidRPr="005669CE" w:rsidRDefault="00DB0A1C" w:rsidP="00CE74C2">
            <w:pPr>
              <w:pStyle w:val="TableParagraph"/>
              <w:spacing w:line="268" w:lineRule="exact"/>
              <w:ind w:left="9"/>
              <w:jc w:val="both"/>
            </w:pPr>
            <w:r w:rsidRPr="005669CE">
              <w:rPr>
                <w:lang w:val="fr-FR"/>
              </w:rPr>
              <w:t>12</w:t>
            </w:r>
          </w:p>
        </w:tc>
        <w:tc>
          <w:tcPr>
            <w:tcW w:w="2471" w:type="dxa"/>
          </w:tcPr>
          <w:p w14:paraId="4B39BE60" w14:textId="77777777" w:rsidR="000E2E95" w:rsidRPr="005669CE" w:rsidRDefault="000E2E95" w:rsidP="00CE74C2">
            <w:pPr>
              <w:pStyle w:val="TableParagraph"/>
              <w:jc w:val="both"/>
              <w:rPr>
                <w:rFonts w:ascii="Times New Roman"/>
              </w:rPr>
            </w:pPr>
          </w:p>
        </w:tc>
        <w:tc>
          <w:tcPr>
            <w:tcW w:w="531" w:type="dxa"/>
          </w:tcPr>
          <w:p w14:paraId="01493ED2" w14:textId="77777777" w:rsidR="000E2E95" w:rsidRPr="005669CE" w:rsidRDefault="000E2E95" w:rsidP="00CE74C2">
            <w:pPr>
              <w:pStyle w:val="TableParagraph"/>
              <w:jc w:val="both"/>
              <w:rPr>
                <w:rFonts w:ascii="Times New Roman"/>
              </w:rPr>
            </w:pPr>
          </w:p>
        </w:tc>
        <w:tc>
          <w:tcPr>
            <w:tcW w:w="668" w:type="dxa"/>
          </w:tcPr>
          <w:p w14:paraId="71FBBEE0" w14:textId="77777777" w:rsidR="000E2E95" w:rsidRPr="005669CE" w:rsidRDefault="000E2E95" w:rsidP="00CE74C2">
            <w:pPr>
              <w:pStyle w:val="TableParagraph"/>
              <w:jc w:val="both"/>
              <w:rPr>
                <w:rFonts w:ascii="Times New Roman"/>
              </w:rPr>
            </w:pPr>
          </w:p>
        </w:tc>
        <w:tc>
          <w:tcPr>
            <w:tcW w:w="850" w:type="dxa"/>
          </w:tcPr>
          <w:p w14:paraId="61D6873E" w14:textId="77777777" w:rsidR="000E2E95" w:rsidRPr="005669CE" w:rsidRDefault="000E2E95" w:rsidP="00CE74C2">
            <w:pPr>
              <w:pStyle w:val="TableParagraph"/>
              <w:jc w:val="both"/>
              <w:rPr>
                <w:rFonts w:ascii="Times New Roman"/>
              </w:rPr>
            </w:pPr>
          </w:p>
        </w:tc>
        <w:tc>
          <w:tcPr>
            <w:tcW w:w="709" w:type="dxa"/>
          </w:tcPr>
          <w:p w14:paraId="7E0F423E" w14:textId="77777777" w:rsidR="000E2E95" w:rsidRPr="005669CE" w:rsidRDefault="000E2E95" w:rsidP="00CE74C2">
            <w:pPr>
              <w:pStyle w:val="TableParagraph"/>
              <w:jc w:val="both"/>
              <w:rPr>
                <w:rFonts w:ascii="Times New Roman"/>
              </w:rPr>
            </w:pPr>
          </w:p>
        </w:tc>
        <w:tc>
          <w:tcPr>
            <w:tcW w:w="723" w:type="dxa"/>
          </w:tcPr>
          <w:p w14:paraId="2A6D33DE" w14:textId="77777777" w:rsidR="000E2E95" w:rsidRPr="005669CE" w:rsidRDefault="000E2E95" w:rsidP="00CE74C2">
            <w:pPr>
              <w:pStyle w:val="TableParagraph"/>
              <w:jc w:val="both"/>
              <w:rPr>
                <w:rFonts w:ascii="Times New Roman"/>
              </w:rPr>
            </w:pPr>
          </w:p>
        </w:tc>
        <w:tc>
          <w:tcPr>
            <w:tcW w:w="2969" w:type="dxa"/>
          </w:tcPr>
          <w:p w14:paraId="3A6BA27E" w14:textId="77777777" w:rsidR="000E2E95" w:rsidRPr="005669CE" w:rsidRDefault="000E2E95" w:rsidP="00CE74C2">
            <w:pPr>
              <w:pStyle w:val="TableParagraph"/>
              <w:jc w:val="both"/>
              <w:rPr>
                <w:rFonts w:ascii="Times New Roman"/>
              </w:rPr>
            </w:pPr>
          </w:p>
        </w:tc>
      </w:tr>
      <w:tr w:rsidR="000C10E3" w14:paraId="7E11E9DB" w14:textId="77777777" w:rsidTr="5AD33FE0">
        <w:trPr>
          <w:trHeight w:val="432"/>
        </w:trPr>
        <w:tc>
          <w:tcPr>
            <w:tcW w:w="442" w:type="dxa"/>
          </w:tcPr>
          <w:p w14:paraId="5BC93964" w14:textId="77777777" w:rsidR="000E2E95" w:rsidRPr="005669CE" w:rsidRDefault="00DB0A1C" w:rsidP="00CE74C2">
            <w:pPr>
              <w:pStyle w:val="TableParagraph"/>
              <w:spacing w:line="268" w:lineRule="exact"/>
              <w:ind w:left="9"/>
              <w:jc w:val="both"/>
            </w:pPr>
            <w:r w:rsidRPr="005669CE">
              <w:rPr>
                <w:lang w:val="fr-FR"/>
              </w:rPr>
              <w:t>13</w:t>
            </w:r>
          </w:p>
        </w:tc>
        <w:tc>
          <w:tcPr>
            <w:tcW w:w="2471" w:type="dxa"/>
          </w:tcPr>
          <w:p w14:paraId="51AB96EE" w14:textId="77777777" w:rsidR="000E2E95" w:rsidRPr="005669CE" w:rsidRDefault="000E2E95" w:rsidP="00CE74C2">
            <w:pPr>
              <w:pStyle w:val="TableParagraph"/>
              <w:jc w:val="both"/>
              <w:rPr>
                <w:rFonts w:ascii="Times New Roman"/>
              </w:rPr>
            </w:pPr>
          </w:p>
        </w:tc>
        <w:tc>
          <w:tcPr>
            <w:tcW w:w="531" w:type="dxa"/>
          </w:tcPr>
          <w:p w14:paraId="3ECA0DFD" w14:textId="77777777" w:rsidR="000E2E95" w:rsidRPr="005669CE" w:rsidRDefault="000E2E95" w:rsidP="00CE74C2">
            <w:pPr>
              <w:pStyle w:val="TableParagraph"/>
              <w:jc w:val="both"/>
              <w:rPr>
                <w:rFonts w:ascii="Times New Roman"/>
              </w:rPr>
            </w:pPr>
          </w:p>
        </w:tc>
        <w:tc>
          <w:tcPr>
            <w:tcW w:w="668" w:type="dxa"/>
          </w:tcPr>
          <w:p w14:paraId="68878178" w14:textId="77777777" w:rsidR="000E2E95" w:rsidRPr="005669CE" w:rsidRDefault="000E2E95" w:rsidP="00CE74C2">
            <w:pPr>
              <w:pStyle w:val="TableParagraph"/>
              <w:jc w:val="both"/>
              <w:rPr>
                <w:rFonts w:ascii="Times New Roman"/>
              </w:rPr>
            </w:pPr>
          </w:p>
        </w:tc>
        <w:tc>
          <w:tcPr>
            <w:tcW w:w="850" w:type="dxa"/>
          </w:tcPr>
          <w:p w14:paraId="317EBB47" w14:textId="77777777" w:rsidR="000E2E95" w:rsidRPr="005669CE" w:rsidRDefault="000E2E95" w:rsidP="00CE74C2">
            <w:pPr>
              <w:pStyle w:val="TableParagraph"/>
              <w:jc w:val="both"/>
              <w:rPr>
                <w:rFonts w:ascii="Times New Roman"/>
              </w:rPr>
            </w:pPr>
          </w:p>
        </w:tc>
        <w:tc>
          <w:tcPr>
            <w:tcW w:w="709" w:type="dxa"/>
          </w:tcPr>
          <w:p w14:paraId="65E34EBC" w14:textId="77777777" w:rsidR="000E2E95" w:rsidRPr="005669CE" w:rsidRDefault="000E2E95" w:rsidP="00CE74C2">
            <w:pPr>
              <w:pStyle w:val="TableParagraph"/>
              <w:jc w:val="both"/>
              <w:rPr>
                <w:rFonts w:ascii="Times New Roman"/>
              </w:rPr>
            </w:pPr>
          </w:p>
        </w:tc>
        <w:tc>
          <w:tcPr>
            <w:tcW w:w="723" w:type="dxa"/>
          </w:tcPr>
          <w:p w14:paraId="5C50681F" w14:textId="77777777" w:rsidR="000E2E95" w:rsidRPr="005669CE" w:rsidRDefault="000E2E95" w:rsidP="00CE74C2">
            <w:pPr>
              <w:pStyle w:val="TableParagraph"/>
              <w:jc w:val="both"/>
              <w:rPr>
                <w:rFonts w:ascii="Times New Roman"/>
              </w:rPr>
            </w:pPr>
          </w:p>
        </w:tc>
        <w:tc>
          <w:tcPr>
            <w:tcW w:w="2969" w:type="dxa"/>
          </w:tcPr>
          <w:p w14:paraId="13B767B3" w14:textId="77777777" w:rsidR="000E2E95" w:rsidRPr="005669CE" w:rsidRDefault="000E2E95" w:rsidP="00CE74C2">
            <w:pPr>
              <w:pStyle w:val="TableParagraph"/>
              <w:jc w:val="both"/>
              <w:rPr>
                <w:rFonts w:ascii="Times New Roman"/>
              </w:rPr>
            </w:pPr>
          </w:p>
        </w:tc>
      </w:tr>
      <w:tr w:rsidR="000C10E3" w14:paraId="54FD602C" w14:textId="77777777" w:rsidTr="5AD33FE0">
        <w:trPr>
          <w:trHeight w:val="432"/>
        </w:trPr>
        <w:tc>
          <w:tcPr>
            <w:tcW w:w="442" w:type="dxa"/>
          </w:tcPr>
          <w:p w14:paraId="104580BB" w14:textId="77777777" w:rsidR="000E2E95" w:rsidRPr="005669CE" w:rsidRDefault="00DB0A1C" w:rsidP="00CE74C2">
            <w:pPr>
              <w:pStyle w:val="TableParagraph"/>
              <w:spacing w:line="268" w:lineRule="exact"/>
              <w:ind w:left="9"/>
              <w:jc w:val="both"/>
            </w:pPr>
            <w:r w:rsidRPr="005669CE">
              <w:rPr>
                <w:lang w:val="fr-FR"/>
              </w:rPr>
              <w:t>14</w:t>
            </w:r>
          </w:p>
        </w:tc>
        <w:tc>
          <w:tcPr>
            <w:tcW w:w="2471" w:type="dxa"/>
          </w:tcPr>
          <w:p w14:paraId="5568374F" w14:textId="77777777" w:rsidR="000E2E95" w:rsidRPr="005669CE" w:rsidRDefault="000E2E95" w:rsidP="00CE74C2">
            <w:pPr>
              <w:pStyle w:val="TableParagraph"/>
              <w:jc w:val="both"/>
              <w:rPr>
                <w:rFonts w:ascii="Times New Roman"/>
              </w:rPr>
            </w:pPr>
          </w:p>
        </w:tc>
        <w:tc>
          <w:tcPr>
            <w:tcW w:w="531" w:type="dxa"/>
          </w:tcPr>
          <w:p w14:paraId="1A1EC671" w14:textId="77777777" w:rsidR="000E2E95" w:rsidRPr="005669CE" w:rsidRDefault="000E2E95" w:rsidP="00CE74C2">
            <w:pPr>
              <w:pStyle w:val="TableParagraph"/>
              <w:jc w:val="both"/>
              <w:rPr>
                <w:rFonts w:ascii="Times New Roman"/>
              </w:rPr>
            </w:pPr>
          </w:p>
        </w:tc>
        <w:tc>
          <w:tcPr>
            <w:tcW w:w="668" w:type="dxa"/>
          </w:tcPr>
          <w:p w14:paraId="29AF9061" w14:textId="77777777" w:rsidR="000E2E95" w:rsidRPr="005669CE" w:rsidRDefault="000E2E95" w:rsidP="00CE74C2">
            <w:pPr>
              <w:pStyle w:val="TableParagraph"/>
              <w:jc w:val="both"/>
              <w:rPr>
                <w:rFonts w:ascii="Times New Roman"/>
              </w:rPr>
            </w:pPr>
          </w:p>
        </w:tc>
        <w:tc>
          <w:tcPr>
            <w:tcW w:w="850" w:type="dxa"/>
          </w:tcPr>
          <w:p w14:paraId="4F429CF9" w14:textId="77777777" w:rsidR="000E2E95" w:rsidRPr="005669CE" w:rsidRDefault="000E2E95" w:rsidP="00CE74C2">
            <w:pPr>
              <w:pStyle w:val="TableParagraph"/>
              <w:jc w:val="both"/>
              <w:rPr>
                <w:rFonts w:ascii="Times New Roman"/>
              </w:rPr>
            </w:pPr>
          </w:p>
        </w:tc>
        <w:tc>
          <w:tcPr>
            <w:tcW w:w="709" w:type="dxa"/>
          </w:tcPr>
          <w:p w14:paraId="498CDE17" w14:textId="77777777" w:rsidR="000E2E95" w:rsidRPr="005669CE" w:rsidRDefault="000E2E95" w:rsidP="00CE74C2">
            <w:pPr>
              <w:pStyle w:val="TableParagraph"/>
              <w:jc w:val="both"/>
              <w:rPr>
                <w:rFonts w:ascii="Times New Roman"/>
              </w:rPr>
            </w:pPr>
          </w:p>
        </w:tc>
        <w:tc>
          <w:tcPr>
            <w:tcW w:w="723" w:type="dxa"/>
          </w:tcPr>
          <w:p w14:paraId="3C30E5D5" w14:textId="77777777" w:rsidR="000E2E95" w:rsidRPr="005669CE" w:rsidRDefault="000E2E95" w:rsidP="00CE74C2">
            <w:pPr>
              <w:pStyle w:val="TableParagraph"/>
              <w:jc w:val="both"/>
              <w:rPr>
                <w:rFonts w:ascii="Times New Roman"/>
              </w:rPr>
            </w:pPr>
          </w:p>
        </w:tc>
        <w:tc>
          <w:tcPr>
            <w:tcW w:w="2969" w:type="dxa"/>
          </w:tcPr>
          <w:p w14:paraId="3AEDEF2D" w14:textId="77777777" w:rsidR="000E2E95" w:rsidRPr="005669CE" w:rsidRDefault="000E2E95" w:rsidP="00CE74C2">
            <w:pPr>
              <w:pStyle w:val="TableParagraph"/>
              <w:jc w:val="both"/>
              <w:rPr>
                <w:rFonts w:ascii="Times New Roman"/>
              </w:rPr>
            </w:pPr>
          </w:p>
        </w:tc>
      </w:tr>
      <w:tr w:rsidR="000C10E3" w14:paraId="3D59C13A" w14:textId="77777777" w:rsidTr="5AD33FE0">
        <w:trPr>
          <w:trHeight w:val="432"/>
        </w:trPr>
        <w:tc>
          <w:tcPr>
            <w:tcW w:w="442" w:type="dxa"/>
          </w:tcPr>
          <w:p w14:paraId="175F5520" w14:textId="77777777" w:rsidR="000E2E95" w:rsidRPr="005669CE" w:rsidRDefault="00DB0A1C" w:rsidP="00CE74C2">
            <w:pPr>
              <w:pStyle w:val="TableParagraph"/>
              <w:spacing w:line="268" w:lineRule="exact"/>
              <w:ind w:left="9"/>
              <w:jc w:val="both"/>
            </w:pPr>
            <w:r w:rsidRPr="005669CE">
              <w:rPr>
                <w:lang w:val="fr-FR"/>
              </w:rPr>
              <w:t>15</w:t>
            </w:r>
          </w:p>
        </w:tc>
        <w:tc>
          <w:tcPr>
            <w:tcW w:w="2471" w:type="dxa"/>
          </w:tcPr>
          <w:p w14:paraId="3F5157A2" w14:textId="77777777" w:rsidR="000E2E95" w:rsidRPr="005669CE" w:rsidRDefault="000E2E95" w:rsidP="00CE74C2">
            <w:pPr>
              <w:pStyle w:val="TableParagraph"/>
              <w:jc w:val="both"/>
              <w:rPr>
                <w:rFonts w:ascii="Times New Roman"/>
              </w:rPr>
            </w:pPr>
          </w:p>
        </w:tc>
        <w:tc>
          <w:tcPr>
            <w:tcW w:w="531" w:type="dxa"/>
          </w:tcPr>
          <w:p w14:paraId="2E9BC5BB" w14:textId="77777777" w:rsidR="000E2E95" w:rsidRPr="005669CE" w:rsidRDefault="000E2E95" w:rsidP="00CE74C2">
            <w:pPr>
              <w:pStyle w:val="TableParagraph"/>
              <w:jc w:val="both"/>
              <w:rPr>
                <w:rFonts w:ascii="Times New Roman"/>
              </w:rPr>
            </w:pPr>
          </w:p>
        </w:tc>
        <w:tc>
          <w:tcPr>
            <w:tcW w:w="668" w:type="dxa"/>
          </w:tcPr>
          <w:p w14:paraId="28FD75A5" w14:textId="77777777" w:rsidR="000E2E95" w:rsidRPr="005669CE" w:rsidRDefault="000E2E95" w:rsidP="00CE74C2">
            <w:pPr>
              <w:pStyle w:val="TableParagraph"/>
              <w:jc w:val="both"/>
              <w:rPr>
                <w:rFonts w:ascii="Times New Roman"/>
              </w:rPr>
            </w:pPr>
          </w:p>
        </w:tc>
        <w:tc>
          <w:tcPr>
            <w:tcW w:w="850" w:type="dxa"/>
          </w:tcPr>
          <w:p w14:paraId="1E970533" w14:textId="77777777" w:rsidR="000E2E95" w:rsidRPr="005669CE" w:rsidRDefault="000E2E95" w:rsidP="00CE74C2">
            <w:pPr>
              <w:pStyle w:val="TableParagraph"/>
              <w:jc w:val="both"/>
              <w:rPr>
                <w:rFonts w:ascii="Times New Roman"/>
              </w:rPr>
            </w:pPr>
          </w:p>
        </w:tc>
        <w:tc>
          <w:tcPr>
            <w:tcW w:w="709" w:type="dxa"/>
          </w:tcPr>
          <w:p w14:paraId="22AF293B" w14:textId="77777777" w:rsidR="000E2E95" w:rsidRPr="005669CE" w:rsidRDefault="000E2E95" w:rsidP="00CE74C2">
            <w:pPr>
              <w:pStyle w:val="TableParagraph"/>
              <w:jc w:val="both"/>
              <w:rPr>
                <w:rFonts w:ascii="Times New Roman"/>
              </w:rPr>
            </w:pPr>
          </w:p>
        </w:tc>
        <w:tc>
          <w:tcPr>
            <w:tcW w:w="723" w:type="dxa"/>
          </w:tcPr>
          <w:p w14:paraId="34CD7CA6" w14:textId="77777777" w:rsidR="000E2E95" w:rsidRPr="005669CE" w:rsidRDefault="000E2E95" w:rsidP="00CE74C2">
            <w:pPr>
              <w:pStyle w:val="TableParagraph"/>
              <w:jc w:val="both"/>
              <w:rPr>
                <w:rFonts w:ascii="Times New Roman"/>
              </w:rPr>
            </w:pPr>
          </w:p>
        </w:tc>
        <w:tc>
          <w:tcPr>
            <w:tcW w:w="2969" w:type="dxa"/>
          </w:tcPr>
          <w:p w14:paraId="4A33B955" w14:textId="77777777" w:rsidR="000E2E95" w:rsidRPr="005669CE" w:rsidRDefault="000E2E95" w:rsidP="00CE74C2">
            <w:pPr>
              <w:pStyle w:val="TableParagraph"/>
              <w:jc w:val="both"/>
              <w:rPr>
                <w:rFonts w:ascii="Times New Roman"/>
              </w:rPr>
            </w:pPr>
          </w:p>
        </w:tc>
      </w:tr>
      <w:tr w:rsidR="000C10E3" w14:paraId="61411254" w14:textId="77777777" w:rsidTr="5AD33FE0">
        <w:trPr>
          <w:trHeight w:val="432"/>
        </w:trPr>
        <w:tc>
          <w:tcPr>
            <w:tcW w:w="442" w:type="dxa"/>
          </w:tcPr>
          <w:p w14:paraId="3756B59F" w14:textId="77777777" w:rsidR="000E2E95" w:rsidRPr="005669CE" w:rsidRDefault="00DB0A1C" w:rsidP="00CE74C2">
            <w:pPr>
              <w:pStyle w:val="TableParagraph"/>
              <w:spacing w:line="268" w:lineRule="exact"/>
              <w:ind w:left="9"/>
              <w:jc w:val="both"/>
            </w:pPr>
            <w:r w:rsidRPr="005669CE">
              <w:rPr>
                <w:lang w:val="fr-FR"/>
              </w:rPr>
              <w:t>16</w:t>
            </w:r>
          </w:p>
        </w:tc>
        <w:tc>
          <w:tcPr>
            <w:tcW w:w="2471" w:type="dxa"/>
          </w:tcPr>
          <w:p w14:paraId="14826FA7" w14:textId="77777777" w:rsidR="000E2E95" w:rsidRPr="005669CE" w:rsidRDefault="000E2E95" w:rsidP="00CE74C2">
            <w:pPr>
              <w:pStyle w:val="TableParagraph"/>
              <w:jc w:val="both"/>
              <w:rPr>
                <w:rFonts w:ascii="Times New Roman"/>
              </w:rPr>
            </w:pPr>
          </w:p>
        </w:tc>
        <w:tc>
          <w:tcPr>
            <w:tcW w:w="531" w:type="dxa"/>
          </w:tcPr>
          <w:p w14:paraId="6B0219CE" w14:textId="77777777" w:rsidR="000E2E95" w:rsidRPr="005669CE" w:rsidRDefault="000E2E95" w:rsidP="00CE74C2">
            <w:pPr>
              <w:pStyle w:val="TableParagraph"/>
              <w:jc w:val="both"/>
              <w:rPr>
                <w:rFonts w:ascii="Times New Roman"/>
              </w:rPr>
            </w:pPr>
          </w:p>
        </w:tc>
        <w:tc>
          <w:tcPr>
            <w:tcW w:w="668" w:type="dxa"/>
          </w:tcPr>
          <w:p w14:paraId="4AA4E042" w14:textId="77777777" w:rsidR="000E2E95" w:rsidRPr="005669CE" w:rsidRDefault="000E2E95" w:rsidP="00CE74C2">
            <w:pPr>
              <w:pStyle w:val="TableParagraph"/>
              <w:jc w:val="both"/>
              <w:rPr>
                <w:rFonts w:ascii="Times New Roman"/>
              </w:rPr>
            </w:pPr>
          </w:p>
        </w:tc>
        <w:tc>
          <w:tcPr>
            <w:tcW w:w="850" w:type="dxa"/>
          </w:tcPr>
          <w:p w14:paraId="323C1786" w14:textId="77777777" w:rsidR="000E2E95" w:rsidRPr="005669CE" w:rsidRDefault="000E2E95" w:rsidP="00CE74C2">
            <w:pPr>
              <w:pStyle w:val="TableParagraph"/>
              <w:jc w:val="both"/>
              <w:rPr>
                <w:rFonts w:ascii="Times New Roman"/>
              </w:rPr>
            </w:pPr>
          </w:p>
        </w:tc>
        <w:tc>
          <w:tcPr>
            <w:tcW w:w="709" w:type="dxa"/>
          </w:tcPr>
          <w:p w14:paraId="465F3776" w14:textId="77777777" w:rsidR="000E2E95" w:rsidRPr="005669CE" w:rsidRDefault="000E2E95" w:rsidP="00CE74C2">
            <w:pPr>
              <w:pStyle w:val="TableParagraph"/>
              <w:jc w:val="both"/>
              <w:rPr>
                <w:rFonts w:ascii="Times New Roman"/>
              </w:rPr>
            </w:pPr>
          </w:p>
        </w:tc>
        <w:tc>
          <w:tcPr>
            <w:tcW w:w="723" w:type="dxa"/>
          </w:tcPr>
          <w:p w14:paraId="4DDF8428" w14:textId="77777777" w:rsidR="000E2E95" w:rsidRPr="005669CE" w:rsidRDefault="000E2E95" w:rsidP="00CE74C2">
            <w:pPr>
              <w:pStyle w:val="TableParagraph"/>
              <w:jc w:val="both"/>
              <w:rPr>
                <w:rFonts w:ascii="Times New Roman"/>
              </w:rPr>
            </w:pPr>
          </w:p>
        </w:tc>
        <w:tc>
          <w:tcPr>
            <w:tcW w:w="2969" w:type="dxa"/>
          </w:tcPr>
          <w:p w14:paraId="12DDC7A7" w14:textId="77777777" w:rsidR="000E2E95" w:rsidRPr="005669CE" w:rsidRDefault="000E2E95" w:rsidP="00CE74C2">
            <w:pPr>
              <w:pStyle w:val="TableParagraph"/>
              <w:jc w:val="both"/>
              <w:rPr>
                <w:rFonts w:ascii="Times New Roman"/>
              </w:rPr>
            </w:pPr>
          </w:p>
        </w:tc>
      </w:tr>
      <w:tr w:rsidR="000C10E3" w14:paraId="44F803E5" w14:textId="77777777" w:rsidTr="5AD33FE0">
        <w:trPr>
          <w:trHeight w:val="432"/>
        </w:trPr>
        <w:tc>
          <w:tcPr>
            <w:tcW w:w="442" w:type="dxa"/>
          </w:tcPr>
          <w:p w14:paraId="1869175B" w14:textId="77777777" w:rsidR="000E2E95" w:rsidRPr="005669CE" w:rsidRDefault="00DB0A1C" w:rsidP="00CE74C2">
            <w:pPr>
              <w:pStyle w:val="TableParagraph"/>
              <w:spacing w:line="268" w:lineRule="exact"/>
              <w:ind w:left="9"/>
              <w:jc w:val="both"/>
            </w:pPr>
            <w:r w:rsidRPr="005669CE">
              <w:rPr>
                <w:lang w:val="fr-FR"/>
              </w:rPr>
              <w:t>17</w:t>
            </w:r>
          </w:p>
        </w:tc>
        <w:tc>
          <w:tcPr>
            <w:tcW w:w="2471" w:type="dxa"/>
          </w:tcPr>
          <w:p w14:paraId="12B1B4AF" w14:textId="77777777" w:rsidR="000E2E95" w:rsidRPr="005669CE" w:rsidRDefault="000E2E95" w:rsidP="00CE74C2">
            <w:pPr>
              <w:pStyle w:val="TableParagraph"/>
              <w:jc w:val="both"/>
              <w:rPr>
                <w:rFonts w:ascii="Times New Roman"/>
              </w:rPr>
            </w:pPr>
          </w:p>
        </w:tc>
        <w:tc>
          <w:tcPr>
            <w:tcW w:w="531" w:type="dxa"/>
          </w:tcPr>
          <w:p w14:paraId="466D6102" w14:textId="77777777" w:rsidR="000E2E95" w:rsidRPr="005669CE" w:rsidRDefault="000E2E95" w:rsidP="00CE74C2">
            <w:pPr>
              <w:pStyle w:val="TableParagraph"/>
              <w:jc w:val="both"/>
              <w:rPr>
                <w:rFonts w:ascii="Times New Roman"/>
              </w:rPr>
            </w:pPr>
          </w:p>
        </w:tc>
        <w:tc>
          <w:tcPr>
            <w:tcW w:w="668" w:type="dxa"/>
          </w:tcPr>
          <w:p w14:paraId="6D2F75D8" w14:textId="77777777" w:rsidR="000E2E95" w:rsidRPr="005669CE" w:rsidRDefault="000E2E95" w:rsidP="00CE74C2">
            <w:pPr>
              <w:pStyle w:val="TableParagraph"/>
              <w:jc w:val="both"/>
              <w:rPr>
                <w:rFonts w:ascii="Times New Roman"/>
              </w:rPr>
            </w:pPr>
          </w:p>
        </w:tc>
        <w:tc>
          <w:tcPr>
            <w:tcW w:w="850" w:type="dxa"/>
          </w:tcPr>
          <w:p w14:paraId="50C8E3CB" w14:textId="77777777" w:rsidR="000E2E95" w:rsidRPr="005669CE" w:rsidRDefault="000E2E95" w:rsidP="00CE74C2">
            <w:pPr>
              <w:pStyle w:val="TableParagraph"/>
              <w:jc w:val="both"/>
              <w:rPr>
                <w:rFonts w:ascii="Times New Roman"/>
              </w:rPr>
            </w:pPr>
          </w:p>
        </w:tc>
        <w:tc>
          <w:tcPr>
            <w:tcW w:w="709" w:type="dxa"/>
          </w:tcPr>
          <w:p w14:paraId="45D7B431" w14:textId="77777777" w:rsidR="000E2E95" w:rsidRPr="005669CE" w:rsidRDefault="000E2E95" w:rsidP="00CE74C2">
            <w:pPr>
              <w:pStyle w:val="TableParagraph"/>
              <w:jc w:val="both"/>
              <w:rPr>
                <w:rFonts w:ascii="Times New Roman"/>
              </w:rPr>
            </w:pPr>
          </w:p>
        </w:tc>
        <w:tc>
          <w:tcPr>
            <w:tcW w:w="723" w:type="dxa"/>
          </w:tcPr>
          <w:p w14:paraId="7F28A6A5" w14:textId="77777777" w:rsidR="000E2E95" w:rsidRPr="005669CE" w:rsidRDefault="000E2E95" w:rsidP="00CE74C2">
            <w:pPr>
              <w:pStyle w:val="TableParagraph"/>
              <w:jc w:val="both"/>
              <w:rPr>
                <w:rFonts w:ascii="Times New Roman"/>
              </w:rPr>
            </w:pPr>
          </w:p>
        </w:tc>
        <w:tc>
          <w:tcPr>
            <w:tcW w:w="2969" w:type="dxa"/>
          </w:tcPr>
          <w:p w14:paraId="558E08E4" w14:textId="77777777" w:rsidR="000E2E95" w:rsidRPr="005669CE" w:rsidRDefault="000E2E95" w:rsidP="00CE74C2">
            <w:pPr>
              <w:pStyle w:val="TableParagraph"/>
              <w:jc w:val="both"/>
              <w:rPr>
                <w:rFonts w:ascii="Times New Roman"/>
              </w:rPr>
            </w:pPr>
          </w:p>
        </w:tc>
      </w:tr>
      <w:tr w:rsidR="000C10E3" w14:paraId="0490E1FC" w14:textId="77777777" w:rsidTr="5AD33FE0">
        <w:trPr>
          <w:trHeight w:val="432"/>
        </w:trPr>
        <w:tc>
          <w:tcPr>
            <w:tcW w:w="442" w:type="dxa"/>
          </w:tcPr>
          <w:p w14:paraId="79BA45B3" w14:textId="77777777" w:rsidR="000E2E95" w:rsidRPr="005669CE" w:rsidRDefault="00DB0A1C" w:rsidP="00CE74C2">
            <w:pPr>
              <w:pStyle w:val="TableParagraph"/>
              <w:spacing w:line="268" w:lineRule="exact"/>
              <w:ind w:left="9"/>
              <w:jc w:val="both"/>
            </w:pPr>
            <w:r w:rsidRPr="005669CE">
              <w:rPr>
                <w:lang w:val="fr-FR"/>
              </w:rPr>
              <w:t>18</w:t>
            </w:r>
          </w:p>
        </w:tc>
        <w:tc>
          <w:tcPr>
            <w:tcW w:w="2471" w:type="dxa"/>
          </w:tcPr>
          <w:p w14:paraId="7A10D83D" w14:textId="77777777" w:rsidR="000E2E95" w:rsidRPr="005669CE" w:rsidRDefault="000E2E95" w:rsidP="00CE74C2">
            <w:pPr>
              <w:pStyle w:val="TableParagraph"/>
              <w:jc w:val="both"/>
              <w:rPr>
                <w:rFonts w:ascii="Times New Roman"/>
              </w:rPr>
            </w:pPr>
          </w:p>
        </w:tc>
        <w:tc>
          <w:tcPr>
            <w:tcW w:w="531" w:type="dxa"/>
          </w:tcPr>
          <w:p w14:paraId="734491DF" w14:textId="77777777" w:rsidR="000E2E95" w:rsidRPr="005669CE" w:rsidRDefault="000E2E95" w:rsidP="00CE74C2">
            <w:pPr>
              <w:pStyle w:val="TableParagraph"/>
              <w:jc w:val="both"/>
              <w:rPr>
                <w:rFonts w:ascii="Times New Roman"/>
              </w:rPr>
            </w:pPr>
          </w:p>
        </w:tc>
        <w:tc>
          <w:tcPr>
            <w:tcW w:w="668" w:type="dxa"/>
          </w:tcPr>
          <w:p w14:paraId="289CFFA4" w14:textId="77777777" w:rsidR="000E2E95" w:rsidRPr="005669CE" w:rsidRDefault="000E2E95" w:rsidP="00CE74C2">
            <w:pPr>
              <w:pStyle w:val="TableParagraph"/>
              <w:jc w:val="both"/>
              <w:rPr>
                <w:rFonts w:ascii="Times New Roman"/>
              </w:rPr>
            </w:pPr>
          </w:p>
        </w:tc>
        <w:tc>
          <w:tcPr>
            <w:tcW w:w="850" w:type="dxa"/>
          </w:tcPr>
          <w:p w14:paraId="2A07F226" w14:textId="77777777" w:rsidR="000E2E95" w:rsidRPr="005669CE" w:rsidRDefault="000E2E95" w:rsidP="00CE74C2">
            <w:pPr>
              <w:pStyle w:val="TableParagraph"/>
              <w:jc w:val="both"/>
              <w:rPr>
                <w:rFonts w:ascii="Times New Roman"/>
              </w:rPr>
            </w:pPr>
          </w:p>
        </w:tc>
        <w:tc>
          <w:tcPr>
            <w:tcW w:w="709" w:type="dxa"/>
          </w:tcPr>
          <w:p w14:paraId="0DE15ECB" w14:textId="77777777" w:rsidR="000E2E95" w:rsidRPr="005669CE" w:rsidRDefault="000E2E95" w:rsidP="00CE74C2">
            <w:pPr>
              <w:pStyle w:val="TableParagraph"/>
              <w:jc w:val="both"/>
              <w:rPr>
                <w:rFonts w:ascii="Times New Roman"/>
              </w:rPr>
            </w:pPr>
          </w:p>
        </w:tc>
        <w:tc>
          <w:tcPr>
            <w:tcW w:w="723" w:type="dxa"/>
          </w:tcPr>
          <w:p w14:paraId="19FE540F" w14:textId="77777777" w:rsidR="000E2E95" w:rsidRPr="005669CE" w:rsidRDefault="000E2E95" w:rsidP="00CE74C2">
            <w:pPr>
              <w:pStyle w:val="TableParagraph"/>
              <w:jc w:val="both"/>
              <w:rPr>
                <w:rFonts w:ascii="Times New Roman"/>
              </w:rPr>
            </w:pPr>
          </w:p>
        </w:tc>
        <w:tc>
          <w:tcPr>
            <w:tcW w:w="2969" w:type="dxa"/>
          </w:tcPr>
          <w:p w14:paraId="4CEB93C6" w14:textId="77777777" w:rsidR="000E2E95" w:rsidRPr="005669CE" w:rsidRDefault="000E2E95" w:rsidP="00CE74C2">
            <w:pPr>
              <w:pStyle w:val="TableParagraph"/>
              <w:jc w:val="both"/>
              <w:rPr>
                <w:rFonts w:ascii="Times New Roman"/>
              </w:rPr>
            </w:pPr>
          </w:p>
        </w:tc>
      </w:tr>
      <w:tr w:rsidR="000C10E3" w14:paraId="670AE468" w14:textId="77777777" w:rsidTr="5AD33FE0">
        <w:trPr>
          <w:trHeight w:val="432"/>
        </w:trPr>
        <w:tc>
          <w:tcPr>
            <w:tcW w:w="442" w:type="dxa"/>
          </w:tcPr>
          <w:p w14:paraId="453A25DC" w14:textId="77777777" w:rsidR="000E2E95" w:rsidRPr="005669CE" w:rsidRDefault="00DB0A1C" w:rsidP="00CE74C2">
            <w:pPr>
              <w:pStyle w:val="TableParagraph"/>
              <w:spacing w:line="268" w:lineRule="exact"/>
              <w:ind w:left="9"/>
              <w:jc w:val="both"/>
            </w:pPr>
            <w:r w:rsidRPr="005669CE">
              <w:rPr>
                <w:lang w:val="fr-FR"/>
              </w:rPr>
              <w:t>19</w:t>
            </w:r>
          </w:p>
        </w:tc>
        <w:tc>
          <w:tcPr>
            <w:tcW w:w="2471" w:type="dxa"/>
          </w:tcPr>
          <w:p w14:paraId="62CB544B" w14:textId="77777777" w:rsidR="000E2E95" w:rsidRPr="005669CE" w:rsidRDefault="000E2E95" w:rsidP="00CE74C2">
            <w:pPr>
              <w:pStyle w:val="TableParagraph"/>
              <w:jc w:val="both"/>
              <w:rPr>
                <w:rFonts w:ascii="Times New Roman"/>
              </w:rPr>
            </w:pPr>
          </w:p>
        </w:tc>
        <w:tc>
          <w:tcPr>
            <w:tcW w:w="531" w:type="dxa"/>
          </w:tcPr>
          <w:p w14:paraId="2D6DA640" w14:textId="77777777" w:rsidR="000E2E95" w:rsidRPr="005669CE" w:rsidRDefault="000E2E95" w:rsidP="00CE74C2">
            <w:pPr>
              <w:pStyle w:val="TableParagraph"/>
              <w:jc w:val="both"/>
              <w:rPr>
                <w:rFonts w:ascii="Times New Roman"/>
              </w:rPr>
            </w:pPr>
          </w:p>
        </w:tc>
        <w:tc>
          <w:tcPr>
            <w:tcW w:w="668" w:type="dxa"/>
          </w:tcPr>
          <w:p w14:paraId="628FB965" w14:textId="77777777" w:rsidR="000E2E95" w:rsidRPr="005669CE" w:rsidRDefault="000E2E95" w:rsidP="00CE74C2">
            <w:pPr>
              <w:pStyle w:val="TableParagraph"/>
              <w:jc w:val="both"/>
              <w:rPr>
                <w:rFonts w:ascii="Times New Roman"/>
              </w:rPr>
            </w:pPr>
          </w:p>
        </w:tc>
        <w:tc>
          <w:tcPr>
            <w:tcW w:w="850" w:type="dxa"/>
          </w:tcPr>
          <w:p w14:paraId="3EC830DB" w14:textId="77777777" w:rsidR="000E2E95" w:rsidRPr="005669CE" w:rsidRDefault="000E2E95" w:rsidP="00CE74C2">
            <w:pPr>
              <w:pStyle w:val="TableParagraph"/>
              <w:jc w:val="both"/>
              <w:rPr>
                <w:rFonts w:ascii="Times New Roman"/>
              </w:rPr>
            </w:pPr>
          </w:p>
        </w:tc>
        <w:tc>
          <w:tcPr>
            <w:tcW w:w="709" w:type="dxa"/>
          </w:tcPr>
          <w:p w14:paraId="2107213F" w14:textId="77777777" w:rsidR="000E2E95" w:rsidRPr="005669CE" w:rsidRDefault="000E2E95" w:rsidP="00CE74C2">
            <w:pPr>
              <w:pStyle w:val="TableParagraph"/>
              <w:jc w:val="both"/>
              <w:rPr>
                <w:rFonts w:ascii="Times New Roman"/>
              </w:rPr>
            </w:pPr>
          </w:p>
        </w:tc>
        <w:tc>
          <w:tcPr>
            <w:tcW w:w="723" w:type="dxa"/>
          </w:tcPr>
          <w:p w14:paraId="29931FA4" w14:textId="77777777" w:rsidR="000E2E95" w:rsidRPr="005669CE" w:rsidRDefault="000E2E95" w:rsidP="00CE74C2">
            <w:pPr>
              <w:pStyle w:val="TableParagraph"/>
              <w:jc w:val="both"/>
              <w:rPr>
                <w:rFonts w:ascii="Times New Roman"/>
              </w:rPr>
            </w:pPr>
          </w:p>
        </w:tc>
        <w:tc>
          <w:tcPr>
            <w:tcW w:w="2969" w:type="dxa"/>
          </w:tcPr>
          <w:p w14:paraId="0C31A16F" w14:textId="77777777" w:rsidR="000E2E95" w:rsidRPr="005669CE" w:rsidRDefault="000E2E95" w:rsidP="00CE74C2">
            <w:pPr>
              <w:pStyle w:val="TableParagraph"/>
              <w:jc w:val="both"/>
              <w:rPr>
                <w:rFonts w:ascii="Times New Roman"/>
              </w:rPr>
            </w:pPr>
          </w:p>
        </w:tc>
      </w:tr>
      <w:tr w:rsidR="000C10E3" w14:paraId="23E4AE7F" w14:textId="77777777" w:rsidTr="5AD33FE0">
        <w:trPr>
          <w:trHeight w:val="432"/>
        </w:trPr>
        <w:tc>
          <w:tcPr>
            <w:tcW w:w="442" w:type="dxa"/>
          </w:tcPr>
          <w:p w14:paraId="27E955C1" w14:textId="77777777" w:rsidR="000E2E95" w:rsidRPr="005669CE" w:rsidRDefault="00DB0A1C" w:rsidP="00CE74C2">
            <w:pPr>
              <w:pStyle w:val="TableParagraph"/>
              <w:spacing w:line="268" w:lineRule="exact"/>
              <w:ind w:left="9"/>
              <w:jc w:val="both"/>
            </w:pPr>
            <w:r w:rsidRPr="005669CE">
              <w:rPr>
                <w:lang w:val="fr-FR"/>
              </w:rPr>
              <w:t>20</w:t>
            </w:r>
          </w:p>
        </w:tc>
        <w:tc>
          <w:tcPr>
            <w:tcW w:w="2471" w:type="dxa"/>
          </w:tcPr>
          <w:p w14:paraId="3D8B9D23" w14:textId="77777777" w:rsidR="000E2E95" w:rsidRPr="005669CE" w:rsidRDefault="000E2E95" w:rsidP="00CE74C2">
            <w:pPr>
              <w:pStyle w:val="TableParagraph"/>
              <w:jc w:val="both"/>
              <w:rPr>
                <w:rFonts w:ascii="Times New Roman"/>
              </w:rPr>
            </w:pPr>
          </w:p>
        </w:tc>
        <w:tc>
          <w:tcPr>
            <w:tcW w:w="531" w:type="dxa"/>
          </w:tcPr>
          <w:p w14:paraId="30182141" w14:textId="77777777" w:rsidR="000E2E95" w:rsidRPr="005669CE" w:rsidRDefault="000E2E95" w:rsidP="00CE74C2">
            <w:pPr>
              <w:pStyle w:val="TableParagraph"/>
              <w:jc w:val="both"/>
              <w:rPr>
                <w:rFonts w:ascii="Times New Roman"/>
              </w:rPr>
            </w:pPr>
          </w:p>
        </w:tc>
        <w:tc>
          <w:tcPr>
            <w:tcW w:w="668" w:type="dxa"/>
          </w:tcPr>
          <w:p w14:paraId="28C096C7" w14:textId="77777777" w:rsidR="000E2E95" w:rsidRPr="005669CE" w:rsidRDefault="000E2E95" w:rsidP="00CE74C2">
            <w:pPr>
              <w:pStyle w:val="TableParagraph"/>
              <w:jc w:val="both"/>
              <w:rPr>
                <w:rFonts w:ascii="Times New Roman"/>
              </w:rPr>
            </w:pPr>
          </w:p>
        </w:tc>
        <w:tc>
          <w:tcPr>
            <w:tcW w:w="850" w:type="dxa"/>
          </w:tcPr>
          <w:p w14:paraId="7F6513CD" w14:textId="77777777" w:rsidR="000E2E95" w:rsidRPr="005669CE" w:rsidRDefault="000E2E95" w:rsidP="00CE74C2">
            <w:pPr>
              <w:pStyle w:val="TableParagraph"/>
              <w:jc w:val="both"/>
              <w:rPr>
                <w:rFonts w:ascii="Times New Roman"/>
              </w:rPr>
            </w:pPr>
          </w:p>
        </w:tc>
        <w:tc>
          <w:tcPr>
            <w:tcW w:w="709" w:type="dxa"/>
          </w:tcPr>
          <w:p w14:paraId="63B59290" w14:textId="77777777" w:rsidR="000E2E95" w:rsidRPr="005669CE" w:rsidRDefault="000E2E95" w:rsidP="00CE74C2">
            <w:pPr>
              <w:pStyle w:val="TableParagraph"/>
              <w:jc w:val="both"/>
              <w:rPr>
                <w:rFonts w:ascii="Times New Roman"/>
              </w:rPr>
            </w:pPr>
          </w:p>
        </w:tc>
        <w:tc>
          <w:tcPr>
            <w:tcW w:w="723" w:type="dxa"/>
          </w:tcPr>
          <w:p w14:paraId="47C47827" w14:textId="77777777" w:rsidR="000E2E95" w:rsidRPr="005669CE" w:rsidRDefault="000E2E95" w:rsidP="00CE74C2">
            <w:pPr>
              <w:pStyle w:val="TableParagraph"/>
              <w:jc w:val="both"/>
              <w:rPr>
                <w:rFonts w:ascii="Times New Roman"/>
              </w:rPr>
            </w:pPr>
          </w:p>
        </w:tc>
        <w:tc>
          <w:tcPr>
            <w:tcW w:w="2969" w:type="dxa"/>
          </w:tcPr>
          <w:p w14:paraId="574241D7" w14:textId="77777777" w:rsidR="000E2E95" w:rsidRPr="005669CE" w:rsidRDefault="000E2E95" w:rsidP="00CE74C2">
            <w:pPr>
              <w:pStyle w:val="TableParagraph"/>
              <w:jc w:val="both"/>
              <w:rPr>
                <w:rFonts w:ascii="Times New Roman"/>
              </w:rPr>
            </w:pPr>
          </w:p>
        </w:tc>
      </w:tr>
      <w:tr w:rsidR="000C10E3" w14:paraId="4166A5FD" w14:textId="77777777" w:rsidTr="5AD33FE0">
        <w:trPr>
          <w:trHeight w:val="432"/>
        </w:trPr>
        <w:tc>
          <w:tcPr>
            <w:tcW w:w="442" w:type="dxa"/>
          </w:tcPr>
          <w:p w14:paraId="17070C5D" w14:textId="77777777" w:rsidR="00F84A1C" w:rsidRPr="005669CE" w:rsidRDefault="00DB0A1C" w:rsidP="00CE74C2">
            <w:pPr>
              <w:pStyle w:val="TableParagraph"/>
              <w:spacing w:line="268" w:lineRule="exact"/>
              <w:ind w:left="9"/>
              <w:jc w:val="both"/>
              <w:rPr>
                <w:spacing w:val="-5"/>
              </w:rPr>
            </w:pPr>
            <w:r w:rsidRPr="005669CE">
              <w:rPr>
                <w:spacing w:val="-5"/>
                <w:lang w:val="fr-FR"/>
              </w:rPr>
              <w:t>21</w:t>
            </w:r>
          </w:p>
        </w:tc>
        <w:tc>
          <w:tcPr>
            <w:tcW w:w="2471" w:type="dxa"/>
          </w:tcPr>
          <w:p w14:paraId="0472178B" w14:textId="77777777" w:rsidR="00F84A1C" w:rsidRPr="005669CE" w:rsidRDefault="00F84A1C" w:rsidP="00CE74C2">
            <w:pPr>
              <w:pStyle w:val="TableParagraph"/>
              <w:jc w:val="both"/>
              <w:rPr>
                <w:rFonts w:ascii="Times New Roman"/>
              </w:rPr>
            </w:pPr>
          </w:p>
        </w:tc>
        <w:tc>
          <w:tcPr>
            <w:tcW w:w="531" w:type="dxa"/>
          </w:tcPr>
          <w:p w14:paraId="27FDD51D" w14:textId="77777777" w:rsidR="00F84A1C" w:rsidRPr="005669CE" w:rsidRDefault="00F84A1C" w:rsidP="00CE74C2">
            <w:pPr>
              <w:pStyle w:val="TableParagraph"/>
              <w:jc w:val="both"/>
              <w:rPr>
                <w:rFonts w:ascii="Times New Roman"/>
              </w:rPr>
            </w:pPr>
          </w:p>
        </w:tc>
        <w:tc>
          <w:tcPr>
            <w:tcW w:w="668" w:type="dxa"/>
          </w:tcPr>
          <w:p w14:paraId="4FE5740E" w14:textId="77777777" w:rsidR="00F84A1C" w:rsidRPr="005669CE" w:rsidRDefault="00F84A1C" w:rsidP="00CE74C2">
            <w:pPr>
              <w:pStyle w:val="TableParagraph"/>
              <w:jc w:val="both"/>
              <w:rPr>
                <w:rFonts w:ascii="Times New Roman"/>
              </w:rPr>
            </w:pPr>
          </w:p>
        </w:tc>
        <w:tc>
          <w:tcPr>
            <w:tcW w:w="850" w:type="dxa"/>
          </w:tcPr>
          <w:p w14:paraId="30A2119B" w14:textId="77777777" w:rsidR="00F84A1C" w:rsidRPr="005669CE" w:rsidRDefault="00F84A1C" w:rsidP="00CE74C2">
            <w:pPr>
              <w:pStyle w:val="TableParagraph"/>
              <w:jc w:val="both"/>
              <w:rPr>
                <w:rFonts w:ascii="Times New Roman"/>
              </w:rPr>
            </w:pPr>
          </w:p>
        </w:tc>
        <w:tc>
          <w:tcPr>
            <w:tcW w:w="709" w:type="dxa"/>
          </w:tcPr>
          <w:p w14:paraId="548A3CF3" w14:textId="77777777" w:rsidR="00F84A1C" w:rsidRPr="005669CE" w:rsidRDefault="00F84A1C" w:rsidP="00CE74C2">
            <w:pPr>
              <w:pStyle w:val="TableParagraph"/>
              <w:jc w:val="both"/>
              <w:rPr>
                <w:rFonts w:ascii="Times New Roman"/>
              </w:rPr>
            </w:pPr>
          </w:p>
        </w:tc>
        <w:tc>
          <w:tcPr>
            <w:tcW w:w="723" w:type="dxa"/>
          </w:tcPr>
          <w:p w14:paraId="565127B8" w14:textId="77777777" w:rsidR="00F84A1C" w:rsidRPr="005669CE" w:rsidRDefault="00F84A1C" w:rsidP="00CE74C2">
            <w:pPr>
              <w:pStyle w:val="TableParagraph"/>
              <w:jc w:val="both"/>
              <w:rPr>
                <w:rFonts w:ascii="Times New Roman"/>
              </w:rPr>
            </w:pPr>
          </w:p>
        </w:tc>
        <w:tc>
          <w:tcPr>
            <w:tcW w:w="2969" w:type="dxa"/>
          </w:tcPr>
          <w:p w14:paraId="026D97D6" w14:textId="77777777" w:rsidR="00F84A1C" w:rsidRPr="005669CE" w:rsidRDefault="00F84A1C" w:rsidP="00CE74C2">
            <w:pPr>
              <w:pStyle w:val="TableParagraph"/>
              <w:jc w:val="both"/>
              <w:rPr>
                <w:rFonts w:ascii="Times New Roman"/>
              </w:rPr>
            </w:pPr>
          </w:p>
        </w:tc>
      </w:tr>
      <w:tr w:rsidR="000C10E3" w14:paraId="6799D797" w14:textId="77777777" w:rsidTr="5AD33FE0">
        <w:trPr>
          <w:trHeight w:val="432"/>
        </w:trPr>
        <w:tc>
          <w:tcPr>
            <w:tcW w:w="442" w:type="dxa"/>
          </w:tcPr>
          <w:p w14:paraId="19FAAC10" w14:textId="77777777" w:rsidR="00F84A1C" w:rsidRPr="005669CE" w:rsidRDefault="00DB0A1C" w:rsidP="00CE74C2">
            <w:pPr>
              <w:pStyle w:val="TableParagraph"/>
              <w:spacing w:line="268" w:lineRule="exact"/>
              <w:ind w:left="9"/>
              <w:jc w:val="both"/>
              <w:rPr>
                <w:spacing w:val="-5"/>
              </w:rPr>
            </w:pPr>
            <w:r w:rsidRPr="005669CE">
              <w:rPr>
                <w:spacing w:val="-5"/>
                <w:lang w:val="fr-FR"/>
              </w:rPr>
              <w:t>22</w:t>
            </w:r>
          </w:p>
        </w:tc>
        <w:tc>
          <w:tcPr>
            <w:tcW w:w="2471" w:type="dxa"/>
          </w:tcPr>
          <w:p w14:paraId="40A7A16D" w14:textId="77777777" w:rsidR="00F84A1C" w:rsidRPr="005669CE" w:rsidRDefault="00F84A1C" w:rsidP="00CE74C2">
            <w:pPr>
              <w:pStyle w:val="TableParagraph"/>
              <w:jc w:val="both"/>
              <w:rPr>
                <w:rFonts w:ascii="Times New Roman"/>
              </w:rPr>
            </w:pPr>
          </w:p>
        </w:tc>
        <w:tc>
          <w:tcPr>
            <w:tcW w:w="531" w:type="dxa"/>
          </w:tcPr>
          <w:p w14:paraId="79E8B49A" w14:textId="77777777" w:rsidR="00F84A1C" w:rsidRPr="005669CE" w:rsidRDefault="00F84A1C" w:rsidP="00CE74C2">
            <w:pPr>
              <w:pStyle w:val="TableParagraph"/>
              <w:jc w:val="both"/>
              <w:rPr>
                <w:rFonts w:ascii="Times New Roman"/>
              </w:rPr>
            </w:pPr>
          </w:p>
        </w:tc>
        <w:tc>
          <w:tcPr>
            <w:tcW w:w="668" w:type="dxa"/>
          </w:tcPr>
          <w:p w14:paraId="6F656843" w14:textId="77777777" w:rsidR="00F84A1C" w:rsidRPr="005669CE" w:rsidRDefault="00F84A1C" w:rsidP="00CE74C2">
            <w:pPr>
              <w:pStyle w:val="TableParagraph"/>
              <w:jc w:val="both"/>
              <w:rPr>
                <w:rFonts w:ascii="Times New Roman"/>
              </w:rPr>
            </w:pPr>
          </w:p>
        </w:tc>
        <w:tc>
          <w:tcPr>
            <w:tcW w:w="850" w:type="dxa"/>
          </w:tcPr>
          <w:p w14:paraId="205DB6F9" w14:textId="77777777" w:rsidR="00F84A1C" w:rsidRPr="005669CE" w:rsidRDefault="00F84A1C" w:rsidP="00CE74C2">
            <w:pPr>
              <w:pStyle w:val="TableParagraph"/>
              <w:jc w:val="both"/>
              <w:rPr>
                <w:rFonts w:ascii="Times New Roman"/>
              </w:rPr>
            </w:pPr>
          </w:p>
        </w:tc>
        <w:tc>
          <w:tcPr>
            <w:tcW w:w="709" w:type="dxa"/>
          </w:tcPr>
          <w:p w14:paraId="46411FD6" w14:textId="77777777" w:rsidR="00F84A1C" w:rsidRPr="005669CE" w:rsidRDefault="00F84A1C" w:rsidP="00CE74C2">
            <w:pPr>
              <w:pStyle w:val="TableParagraph"/>
              <w:jc w:val="both"/>
              <w:rPr>
                <w:rFonts w:ascii="Times New Roman"/>
              </w:rPr>
            </w:pPr>
          </w:p>
        </w:tc>
        <w:tc>
          <w:tcPr>
            <w:tcW w:w="723" w:type="dxa"/>
          </w:tcPr>
          <w:p w14:paraId="4B6F231E" w14:textId="77777777" w:rsidR="00F84A1C" w:rsidRPr="005669CE" w:rsidRDefault="00F84A1C" w:rsidP="00CE74C2">
            <w:pPr>
              <w:pStyle w:val="TableParagraph"/>
              <w:jc w:val="both"/>
              <w:rPr>
                <w:rFonts w:ascii="Times New Roman"/>
              </w:rPr>
            </w:pPr>
          </w:p>
        </w:tc>
        <w:tc>
          <w:tcPr>
            <w:tcW w:w="2969" w:type="dxa"/>
          </w:tcPr>
          <w:p w14:paraId="01A30F97" w14:textId="77777777" w:rsidR="00F84A1C" w:rsidRPr="005669CE" w:rsidRDefault="00F84A1C" w:rsidP="00CE74C2">
            <w:pPr>
              <w:pStyle w:val="TableParagraph"/>
              <w:jc w:val="both"/>
              <w:rPr>
                <w:rFonts w:ascii="Times New Roman"/>
              </w:rPr>
            </w:pPr>
          </w:p>
        </w:tc>
      </w:tr>
    </w:tbl>
    <w:p w14:paraId="4C4FBE4F" w14:textId="77777777" w:rsidR="000E2E95" w:rsidRPr="005669CE" w:rsidRDefault="000E2E95" w:rsidP="00CE74C2">
      <w:pPr>
        <w:jc w:val="both"/>
        <w:rPr>
          <w:rFonts w:ascii="Times New Roman"/>
        </w:rPr>
        <w:sectPr w:rsidR="000E2E95" w:rsidRPr="005669CE" w:rsidSect="008622E9">
          <w:pgSz w:w="12240" w:h="15840"/>
          <w:pgMar w:top="1440" w:right="1077" w:bottom="1440" w:left="1077" w:header="720" w:footer="720" w:gutter="0"/>
          <w:cols w:space="720"/>
        </w:sectPr>
      </w:pPr>
    </w:p>
    <w:p w14:paraId="2A44B617" w14:textId="77777777" w:rsidR="000E2E95" w:rsidRPr="005669CE" w:rsidRDefault="000E2E95" w:rsidP="00CE74C2">
      <w:pPr>
        <w:jc w:val="both"/>
        <w:rPr>
          <w:rFonts w:ascii="Times New Roman"/>
        </w:rPr>
        <w:sectPr w:rsidR="000E2E95" w:rsidRPr="005669CE" w:rsidSect="008622E9">
          <w:type w:val="continuous"/>
          <w:pgSz w:w="12240" w:h="15840"/>
          <w:pgMar w:top="1440" w:right="1077" w:bottom="1440" w:left="1077" w:header="720" w:footer="720" w:gutter="0"/>
          <w:cols w:space="720"/>
        </w:sectPr>
      </w:pPr>
    </w:p>
    <w:p w14:paraId="290A5E95" w14:textId="77777777" w:rsidR="000E2E95" w:rsidRDefault="00DB0A1C" w:rsidP="003F1F88">
      <w:pPr>
        <w:pStyle w:val="Heading2"/>
        <w:rPr>
          <w:lang w:val="fr-FR"/>
        </w:rPr>
      </w:pPr>
      <w:bookmarkStart w:id="51" w:name="_bookmark22"/>
      <w:bookmarkStart w:id="52" w:name="_Participant_Data_Entry"/>
      <w:bookmarkStart w:id="53" w:name="_Toc181011881"/>
      <w:bookmarkEnd w:id="51"/>
      <w:bookmarkEnd w:id="52"/>
      <w:r w:rsidRPr="005669CE">
        <w:rPr>
          <w:lang w:val="fr-FR"/>
        </w:rPr>
        <w:lastRenderedPageBreak/>
        <w:t>Formulaire de saisie des données des participants (électronique)</w:t>
      </w:r>
      <w:bookmarkEnd w:id="53"/>
    </w:p>
    <w:p w14:paraId="271C3C5F" w14:textId="77777777" w:rsidR="00FE4D53" w:rsidRPr="007803E0" w:rsidRDefault="00FE4D53" w:rsidP="003F1F88">
      <w:pPr>
        <w:pStyle w:val="Heading2"/>
        <w:rPr>
          <w:sz w:val="8"/>
          <w:szCs w:val="8"/>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4"/>
        <w:gridCol w:w="1843"/>
        <w:gridCol w:w="4524"/>
        <w:gridCol w:w="2420"/>
      </w:tblGrid>
      <w:tr w:rsidR="000C10E3" w14:paraId="2289AF31" w14:textId="77777777" w:rsidTr="00493D79">
        <w:trPr>
          <w:trHeight w:val="304"/>
        </w:trPr>
        <w:tc>
          <w:tcPr>
            <w:tcW w:w="574" w:type="dxa"/>
          </w:tcPr>
          <w:p w14:paraId="3014BB15" w14:textId="77777777" w:rsidR="000E2E95" w:rsidRPr="005669CE" w:rsidRDefault="00DB0A1C" w:rsidP="00CE74C2">
            <w:pPr>
              <w:pStyle w:val="TableParagraph"/>
              <w:spacing w:before="13"/>
              <w:ind w:left="14"/>
              <w:jc w:val="both"/>
              <w:rPr>
                <w:b/>
              </w:rPr>
            </w:pPr>
            <w:r w:rsidRPr="005669CE">
              <w:rPr>
                <w:b/>
                <w:bCs/>
                <w:spacing w:val="-5"/>
                <w:lang w:val="fr-FR"/>
              </w:rPr>
              <w:t>N°</w:t>
            </w:r>
          </w:p>
        </w:tc>
        <w:tc>
          <w:tcPr>
            <w:tcW w:w="1843" w:type="dxa"/>
          </w:tcPr>
          <w:p w14:paraId="2659CF26" w14:textId="77777777" w:rsidR="000E2E95" w:rsidRPr="005669CE" w:rsidRDefault="00DB0A1C" w:rsidP="00CE74C2">
            <w:pPr>
              <w:pStyle w:val="TableParagraph"/>
              <w:spacing w:before="13"/>
              <w:ind w:left="14"/>
              <w:jc w:val="both"/>
              <w:rPr>
                <w:b/>
              </w:rPr>
            </w:pPr>
            <w:r w:rsidRPr="005669CE">
              <w:rPr>
                <w:b/>
                <w:bCs/>
                <w:spacing w:val="-2"/>
                <w:lang w:val="fr-FR"/>
              </w:rPr>
              <w:t>Variable</w:t>
            </w:r>
          </w:p>
        </w:tc>
        <w:tc>
          <w:tcPr>
            <w:tcW w:w="4524" w:type="dxa"/>
          </w:tcPr>
          <w:p w14:paraId="5E6CB953" w14:textId="77777777" w:rsidR="000E2E95" w:rsidRPr="005669CE" w:rsidRDefault="00DB0A1C" w:rsidP="00CE74C2">
            <w:pPr>
              <w:pStyle w:val="TableParagraph"/>
              <w:spacing w:before="13"/>
              <w:ind w:left="14"/>
              <w:jc w:val="both"/>
              <w:rPr>
                <w:b/>
              </w:rPr>
            </w:pPr>
            <w:r w:rsidRPr="005669CE">
              <w:rPr>
                <w:b/>
                <w:bCs/>
                <w:spacing w:val="-2"/>
                <w:lang w:val="fr-FR"/>
              </w:rPr>
              <w:t>Étiquette</w:t>
            </w:r>
          </w:p>
        </w:tc>
        <w:tc>
          <w:tcPr>
            <w:tcW w:w="2420" w:type="dxa"/>
          </w:tcPr>
          <w:p w14:paraId="0C0E7ACD" w14:textId="77777777" w:rsidR="000E2E95" w:rsidRPr="005669CE" w:rsidRDefault="00DB0A1C" w:rsidP="00CE74C2">
            <w:pPr>
              <w:pStyle w:val="TableParagraph"/>
              <w:spacing w:before="13"/>
              <w:ind w:left="14"/>
              <w:jc w:val="both"/>
              <w:rPr>
                <w:b/>
              </w:rPr>
            </w:pPr>
            <w:r w:rsidRPr="005669CE">
              <w:rPr>
                <w:b/>
                <w:bCs/>
                <w:lang w:val="fr-FR"/>
              </w:rPr>
              <w:t>Valeur saisie</w:t>
            </w:r>
          </w:p>
        </w:tc>
      </w:tr>
      <w:tr w:rsidR="000C10E3" w14:paraId="15D7C667" w14:textId="77777777" w:rsidTr="00493D79">
        <w:trPr>
          <w:trHeight w:val="304"/>
        </w:trPr>
        <w:tc>
          <w:tcPr>
            <w:tcW w:w="574" w:type="dxa"/>
          </w:tcPr>
          <w:p w14:paraId="17129E6E" w14:textId="77777777" w:rsidR="000E2E95" w:rsidRPr="005669CE" w:rsidRDefault="00DB0A1C" w:rsidP="00CE74C2">
            <w:pPr>
              <w:pStyle w:val="TableParagraph"/>
              <w:spacing w:before="13"/>
              <w:ind w:left="14"/>
              <w:jc w:val="both"/>
              <w:rPr>
                <w:b/>
              </w:rPr>
            </w:pPr>
            <w:r w:rsidRPr="005669CE">
              <w:rPr>
                <w:b/>
                <w:bCs/>
                <w:spacing w:val="-10"/>
                <w:lang w:val="fr-FR"/>
              </w:rPr>
              <w:t>1</w:t>
            </w:r>
          </w:p>
        </w:tc>
        <w:tc>
          <w:tcPr>
            <w:tcW w:w="1843" w:type="dxa"/>
          </w:tcPr>
          <w:p w14:paraId="40549B35" w14:textId="77777777" w:rsidR="000E2E95" w:rsidRPr="005669CE" w:rsidRDefault="00DB0A1C" w:rsidP="00CE74C2">
            <w:pPr>
              <w:pStyle w:val="TableParagraph"/>
              <w:spacing w:before="13"/>
              <w:ind w:left="14"/>
              <w:jc w:val="both"/>
              <w:rPr>
                <w:b/>
              </w:rPr>
            </w:pPr>
            <w:proofErr w:type="spellStart"/>
            <w:proofErr w:type="gramStart"/>
            <w:r w:rsidRPr="005669CE">
              <w:rPr>
                <w:b/>
                <w:bCs/>
                <w:spacing w:val="-2"/>
                <w:lang w:val="fr-FR"/>
              </w:rPr>
              <w:t>p</w:t>
            </w:r>
            <w:proofErr w:type="gramEnd"/>
            <w:r w:rsidRPr="005669CE">
              <w:rPr>
                <w:b/>
                <w:bCs/>
                <w:spacing w:val="-2"/>
                <w:lang w:val="fr-FR"/>
              </w:rPr>
              <w:t>_survey_date</w:t>
            </w:r>
            <w:proofErr w:type="spellEnd"/>
          </w:p>
        </w:tc>
        <w:tc>
          <w:tcPr>
            <w:tcW w:w="4524" w:type="dxa"/>
          </w:tcPr>
          <w:p w14:paraId="08D31168" w14:textId="77777777" w:rsidR="000E2E95" w:rsidRPr="005669CE" w:rsidRDefault="00DB0A1C" w:rsidP="00CE74C2">
            <w:pPr>
              <w:pStyle w:val="TableParagraph"/>
              <w:spacing w:before="13"/>
              <w:ind w:left="14"/>
              <w:jc w:val="both"/>
            </w:pPr>
            <w:r w:rsidRPr="005669CE">
              <w:rPr>
                <w:lang w:val="fr-FR"/>
              </w:rPr>
              <w:t>Date de l’enquête</w:t>
            </w:r>
          </w:p>
        </w:tc>
        <w:tc>
          <w:tcPr>
            <w:tcW w:w="2420" w:type="dxa"/>
          </w:tcPr>
          <w:p w14:paraId="244F6B65" w14:textId="77777777" w:rsidR="000E2E95" w:rsidRPr="005669CE" w:rsidRDefault="00DB0A1C" w:rsidP="00CE74C2">
            <w:pPr>
              <w:pStyle w:val="TableParagraph"/>
              <w:spacing w:before="13"/>
              <w:ind w:left="14"/>
              <w:jc w:val="both"/>
            </w:pPr>
            <w:r w:rsidRPr="005669CE">
              <w:rPr>
                <w:lang w:val="fr-FR"/>
              </w:rPr>
              <w:t>Saisie automatiquement</w:t>
            </w:r>
          </w:p>
        </w:tc>
      </w:tr>
      <w:tr w:rsidR="000C10E3" w14:paraId="19345E4C" w14:textId="77777777" w:rsidTr="00493D79">
        <w:trPr>
          <w:trHeight w:val="304"/>
        </w:trPr>
        <w:tc>
          <w:tcPr>
            <w:tcW w:w="574" w:type="dxa"/>
          </w:tcPr>
          <w:p w14:paraId="11E3268D" w14:textId="77777777" w:rsidR="000E2E95" w:rsidRPr="005669CE" w:rsidRDefault="00DB0A1C" w:rsidP="00CE74C2">
            <w:pPr>
              <w:pStyle w:val="TableParagraph"/>
              <w:spacing w:before="16"/>
              <w:ind w:left="14"/>
              <w:jc w:val="both"/>
            </w:pPr>
            <w:r w:rsidRPr="005669CE">
              <w:rPr>
                <w:lang w:val="fr-FR"/>
              </w:rPr>
              <w:t>2</w:t>
            </w:r>
          </w:p>
        </w:tc>
        <w:tc>
          <w:tcPr>
            <w:tcW w:w="1843" w:type="dxa"/>
          </w:tcPr>
          <w:p w14:paraId="524AAD7D" w14:textId="77777777" w:rsidR="000E2E95" w:rsidRPr="005669CE" w:rsidRDefault="00DB0A1C" w:rsidP="00CE74C2">
            <w:pPr>
              <w:pStyle w:val="TableParagraph"/>
              <w:spacing w:before="16"/>
              <w:ind w:left="14"/>
              <w:jc w:val="both"/>
              <w:rPr>
                <w:b/>
              </w:rPr>
            </w:pPr>
            <w:proofErr w:type="spellStart"/>
            <w:proofErr w:type="gramStart"/>
            <w:r w:rsidRPr="005669CE">
              <w:rPr>
                <w:b/>
                <w:bCs/>
                <w:spacing w:val="-2"/>
                <w:lang w:val="fr-FR"/>
              </w:rPr>
              <w:t>p</w:t>
            </w:r>
            <w:proofErr w:type="gramEnd"/>
            <w:r w:rsidRPr="005669CE">
              <w:rPr>
                <w:b/>
                <w:bCs/>
                <w:spacing w:val="-2"/>
                <w:lang w:val="fr-FR"/>
              </w:rPr>
              <w:t>_recorder_id</w:t>
            </w:r>
            <w:proofErr w:type="spellEnd"/>
          </w:p>
        </w:tc>
        <w:tc>
          <w:tcPr>
            <w:tcW w:w="4524" w:type="dxa"/>
          </w:tcPr>
          <w:p w14:paraId="15EE6C14" w14:textId="77777777" w:rsidR="000E2E95" w:rsidRPr="005669CE" w:rsidRDefault="00DB0A1C" w:rsidP="00CE74C2">
            <w:pPr>
              <w:pStyle w:val="TableParagraph"/>
              <w:spacing w:before="16"/>
              <w:ind w:left="14"/>
              <w:jc w:val="both"/>
            </w:pPr>
            <w:r w:rsidRPr="005669CE">
              <w:rPr>
                <w:lang w:val="fr-FR"/>
              </w:rPr>
              <w:t>ID de l’enregistreur</w:t>
            </w:r>
          </w:p>
        </w:tc>
        <w:tc>
          <w:tcPr>
            <w:tcW w:w="2420" w:type="dxa"/>
          </w:tcPr>
          <w:p w14:paraId="76B502AB" w14:textId="77777777" w:rsidR="000E2E95" w:rsidRPr="005669CE" w:rsidRDefault="00DB0A1C" w:rsidP="00CE74C2">
            <w:pPr>
              <w:pStyle w:val="TableParagraph"/>
              <w:spacing w:before="16"/>
              <w:ind w:left="65"/>
              <w:jc w:val="both"/>
            </w:pPr>
            <w:r w:rsidRPr="005669CE">
              <w:rPr>
                <w:lang w:val="fr-FR"/>
              </w:rPr>
              <w:t>A partir d’une liste préremplie</w:t>
            </w:r>
          </w:p>
        </w:tc>
      </w:tr>
      <w:tr w:rsidR="000C10E3" w14:paraId="19BE61E3" w14:textId="77777777" w:rsidTr="00493D79">
        <w:trPr>
          <w:trHeight w:val="304"/>
        </w:trPr>
        <w:tc>
          <w:tcPr>
            <w:tcW w:w="574" w:type="dxa"/>
          </w:tcPr>
          <w:p w14:paraId="09124CF9" w14:textId="77777777" w:rsidR="000E2E95" w:rsidRPr="005669CE" w:rsidRDefault="00DB0A1C" w:rsidP="00CE74C2">
            <w:pPr>
              <w:pStyle w:val="TableParagraph"/>
              <w:spacing w:before="16"/>
              <w:ind w:left="14"/>
              <w:jc w:val="both"/>
            </w:pPr>
            <w:r w:rsidRPr="005669CE">
              <w:rPr>
                <w:lang w:val="fr-FR"/>
              </w:rPr>
              <w:t>3</w:t>
            </w:r>
          </w:p>
        </w:tc>
        <w:tc>
          <w:tcPr>
            <w:tcW w:w="1843" w:type="dxa"/>
          </w:tcPr>
          <w:p w14:paraId="1E1FAB40" w14:textId="77777777" w:rsidR="000E2E95" w:rsidRPr="005669CE" w:rsidRDefault="00DB0A1C" w:rsidP="00CE74C2">
            <w:pPr>
              <w:pStyle w:val="TableParagraph"/>
              <w:spacing w:before="16"/>
              <w:ind w:left="14"/>
              <w:jc w:val="both"/>
              <w:rPr>
                <w:b/>
              </w:rPr>
            </w:pPr>
            <w:proofErr w:type="spellStart"/>
            <w:proofErr w:type="gramStart"/>
            <w:r w:rsidRPr="005669CE">
              <w:rPr>
                <w:b/>
                <w:bCs/>
                <w:spacing w:val="-2"/>
                <w:lang w:val="fr-FR"/>
              </w:rPr>
              <w:t>p</w:t>
            </w:r>
            <w:proofErr w:type="gramEnd"/>
            <w:r w:rsidRPr="005669CE">
              <w:rPr>
                <w:b/>
                <w:bCs/>
                <w:spacing w:val="-2"/>
                <w:lang w:val="fr-FR"/>
              </w:rPr>
              <w:t>_district</w:t>
            </w:r>
            <w:proofErr w:type="spellEnd"/>
          </w:p>
        </w:tc>
        <w:tc>
          <w:tcPr>
            <w:tcW w:w="4524" w:type="dxa"/>
          </w:tcPr>
          <w:p w14:paraId="3FF971F8" w14:textId="77777777" w:rsidR="000E2E95" w:rsidRPr="005669CE" w:rsidRDefault="00DB0A1C" w:rsidP="00CE74C2">
            <w:pPr>
              <w:pStyle w:val="TableParagraph"/>
              <w:spacing w:before="16"/>
              <w:ind w:left="14"/>
              <w:jc w:val="both"/>
            </w:pPr>
            <w:r w:rsidRPr="005669CE">
              <w:rPr>
                <w:lang w:val="fr-FR"/>
              </w:rPr>
              <w:t>Sélectionner le district</w:t>
            </w:r>
          </w:p>
        </w:tc>
        <w:tc>
          <w:tcPr>
            <w:tcW w:w="2420" w:type="dxa"/>
          </w:tcPr>
          <w:p w14:paraId="5F960804" w14:textId="77777777" w:rsidR="000E2E95" w:rsidRPr="005669CE" w:rsidRDefault="00DB0A1C" w:rsidP="00CE74C2">
            <w:pPr>
              <w:pStyle w:val="TableParagraph"/>
              <w:spacing w:before="16"/>
              <w:ind w:left="65"/>
              <w:jc w:val="both"/>
            </w:pPr>
            <w:r w:rsidRPr="005669CE">
              <w:rPr>
                <w:lang w:val="fr-FR"/>
              </w:rPr>
              <w:t>A partir d’une liste préremplie</w:t>
            </w:r>
          </w:p>
        </w:tc>
      </w:tr>
      <w:tr w:rsidR="000C10E3" w14:paraId="78C28D47" w14:textId="77777777" w:rsidTr="00493D79">
        <w:trPr>
          <w:trHeight w:val="306"/>
        </w:trPr>
        <w:tc>
          <w:tcPr>
            <w:tcW w:w="574" w:type="dxa"/>
          </w:tcPr>
          <w:p w14:paraId="37BE128A" w14:textId="77777777" w:rsidR="000E2E95" w:rsidRPr="005669CE" w:rsidRDefault="00DB0A1C" w:rsidP="00CE74C2">
            <w:pPr>
              <w:pStyle w:val="TableParagraph"/>
              <w:spacing w:before="16"/>
              <w:ind w:left="14"/>
              <w:jc w:val="both"/>
            </w:pPr>
            <w:r w:rsidRPr="005669CE">
              <w:rPr>
                <w:lang w:val="fr-FR"/>
              </w:rPr>
              <w:t>4</w:t>
            </w:r>
          </w:p>
        </w:tc>
        <w:tc>
          <w:tcPr>
            <w:tcW w:w="1843" w:type="dxa"/>
          </w:tcPr>
          <w:p w14:paraId="11DA0024" w14:textId="77777777" w:rsidR="000E2E95" w:rsidRPr="005669CE" w:rsidRDefault="00DB0A1C" w:rsidP="00CE74C2">
            <w:pPr>
              <w:pStyle w:val="TableParagraph"/>
              <w:spacing w:before="16"/>
              <w:ind w:left="14"/>
              <w:jc w:val="both"/>
              <w:rPr>
                <w:b/>
              </w:rPr>
            </w:pPr>
            <w:proofErr w:type="spellStart"/>
            <w:proofErr w:type="gramStart"/>
            <w:r w:rsidRPr="005669CE">
              <w:rPr>
                <w:b/>
                <w:bCs/>
                <w:spacing w:val="-2"/>
                <w:lang w:val="fr-FR"/>
              </w:rPr>
              <w:t>p</w:t>
            </w:r>
            <w:proofErr w:type="gramEnd"/>
            <w:r w:rsidRPr="005669CE">
              <w:rPr>
                <w:b/>
                <w:bCs/>
                <w:spacing w:val="-2"/>
                <w:lang w:val="fr-FR"/>
              </w:rPr>
              <w:t>_subdistrict</w:t>
            </w:r>
            <w:proofErr w:type="spellEnd"/>
          </w:p>
        </w:tc>
        <w:tc>
          <w:tcPr>
            <w:tcW w:w="4524" w:type="dxa"/>
          </w:tcPr>
          <w:p w14:paraId="73442DE8" w14:textId="77777777" w:rsidR="000E2E95" w:rsidRPr="005669CE" w:rsidRDefault="00DB0A1C" w:rsidP="00CE74C2">
            <w:pPr>
              <w:pStyle w:val="TableParagraph"/>
              <w:spacing w:before="16"/>
              <w:ind w:left="14"/>
              <w:jc w:val="both"/>
            </w:pPr>
            <w:r w:rsidRPr="005669CE">
              <w:rPr>
                <w:lang w:val="fr-FR"/>
              </w:rPr>
              <w:t>Sélectionner le sous-district</w:t>
            </w:r>
          </w:p>
        </w:tc>
        <w:tc>
          <w:tcPr>
            <w:tcW w:w="2420" w:type="dxa"/>
          </w:tcPr>
          <w:p w14:paraId="19A20C67" w14:textId="77777777" w:rsidR="000E2E95" w:rsidRPr="005669CE" w:rsidRDefault="00DB0A1C" w:rsidP="00CE74C2">
            <w:pPr>
              <w:pStyle w:val="TableParagraph"/>
              <w:spacing w:before="16"/>
              <w:ind w:left="65"/>
              <w:jc w:val="both"/>
            </w:pPr>
            <w:r w:rsidRPr="005669CE">
              <w:rPr>
                <w:lang w:val="fr-FR"/>
              </w:rPr>
              <w:t>A partir d’une liste préremplie</w:t>
            </w:r>
          </w:p>
        </w:tc>
      </w:tr>
      <w:tr w:rsidR="000C10E3" w14:paraId="368C6987" w14:textId="77777777" w:rsidTr="00493D79">
        <w:trPr>
          <w:trHeight w:val="304"/>
        </w:trPr>
        <w:tc>
          <w:tcPr>
            <w:tcW w:w="574" w:type="dxa"/>
          </w:tcPr>
          <w:p w14:paraId="5AB2D008" w14:textId="77777777" w:rsidR="000E2E95" w:rsidRPr="005669CE" w:rsidRDefault="00DB0A1C" w:rsidP="00CE74C2">
            <w:pPr>
              <w:pStyle w:val="TableParagraph"/>
              <w:spacing w:before="13"/>
              <w:ind w:left="14"/>
              <w:jc w:val="both"/>
            </w:pPr>
            <w:r w:rsidRPr="005669CE">
              <w:rPr>
                <w:lang w:val="fr-FR"/>
              </w:rPr>
              <w:t>5</w:t>
            </w:r>
          </w:p>
        </w:tc>
        <w:tc>
          <w:tcPr>
            <w:tcW w:w="1843" w:type="dxa"/>
          </w:tcPr>
          <w:p w14:paraId="18E3AAD6" w14:textId="77777777" w:rsidR="000E2E95" w:rsidRPr="005669CE" w:rsidRDefault="00DB0A1C" w:rsidP="00CE74C2">
            <w:pPr>
              <w:pStyle w:val="TableParagraph"/>
              <w:spacing w:before="13"/>
              <w:ind w:left="14"/>
              <w:jc w:val="both"/>
              <w:rPr>
                <w:b/>
              </w:rPr>
            </w:pPr>
            <w:proofErr w:type="spellStart"/>
            <w:proofErr w:type="gramStart"/>
            <w:r w:rsidRPr="005669CE">
              <w:rPr>
                <w:b/>
                <w:bCs/>
                <w:spacing w:val="-2"/>
                <w:lang w:val="fr-FR"/>
              </w:rPr>
              <w:t>p</w:t>
            </w:r>
            <w:proofErr w:type="gramEnd"/>
            <w:r w:rsidRPr="005669CE">
              <w:rPr>
                <w:b/>
                <w:bCs/>
                <w:spacing w:val="-2"/>
                <w:lang w:val="fr-FR"/>
              </w:rPr>
              <w:t>_school_name</w:t>
            </w:r>
            <w:proofErr w:type="spellEnd"/>
          </w:p>
        </w:tc>
        <w:tc>
          <w:tcPr>
            <w:tcW w:w="4524" w:type="dxa"/>
          </w:tcPr>
          <w:p w14:paraId="711D84BE" w14:textId="77777777" w:rsidR="000E2E95" w:rsidRPr="005669CE" w:rsidRDefault="00DB0A1C" w:rsidP="00CE74C2">
            <w:pPr>
              <w:pStyle w:val="TableParagraph"/>
              <w:spacing w:before="13"/>
              <w:ind w:left="14"/>
              <w:jc w:val="both"/>
            </w:pPr>
            <w:r w:rsidRPr="005669CE">
              <w:rPr>
                <w:lang w:val="fr-FR"/>
              </w:rPr>
              <w:t>Sélectionner le nom de l’école</w:t>
            </w:r>
          </w:p>
        </w:tc>
        <w:tc>
          <w:tcPr>
            <w:tcW w:w="2420" w:type="dxa"/>
          </w:tcPr>
          <w:p w14:paraId="147A6549" w14:textId="77777777" w:rsidR="000E2E95" w:rsidRPr="005669CE" w:rsidRDefault="00DB0A1C" w:rsidP="00CE74C2">
            <w:pPr>
              <w:pStyle w:val="TableParagraph"/>
              <w:spacing w:before="13"/>
              <w:ind w:left="65"/>
              <w:jc w:val="both"/>
            </w:pPr>
            <w:r w:rsidRPr="005669CE">
              <w:rPr>
                <w:lang w:val="fr-FR"/>
              </w:rPr>
              <w:t>A partir d’une liste préremplie</w:t>
            </w:r>
          </w:p>
        </w:tc>
      </w:tr>
      <w:tr w:rsidR="000C10E3" w14:paraId="1D472F79" w14:textId="77777777" w:rsidTr="00493D79">
        <w:trPr>
          <w:trHeight w:val="600"/>
        </w:trPr>
        <w:tc>
          <w:tcPr>
            <w:tcW w:w="574" w:type="dxa"/>
          </w:tcPr>
          <w:p w14:paraId="43B928E0" w14:textId="77777777" w:rsidR="000E2E95" w:rsidRPr="005669CE" w:rsidRDefault="00DB0A1C" w:rsidP="00CE74C2">
            <w:pPr>
              <w:pStyle w:val="TableParagraph"/>
              <w:spacing w:before="162"/>
              <w:ind w:left="14"/>
              <w:jc w:val="both"/>
            </w:pPr>
            <w:r w:rsidRPr="005669CE">
              <w:rPr>
                <w:color w:val="000000"/>
                <w:lang w:val="fr-FR"/>
              </w:rPr>
              <w:t>6</w:t>
            </w:r>
          </w:p>
        </w:tc>
        <w:tc>
          <w:tcPr>
            <w:tcW w:w="1843" w:type="dxa"/>
          </w:tcPr>
          <w:p w14:paraId="3161E222" w14:textId="77777777" w:rsidR="000E2E95" w:rsidRPr="005669CE" w:rsidRDefault="00DB0A1C" w:rsidP="00CE74C2">
            <w:pPr>
              <w:pStyle w:val="TableParagraph"/>
              <w:spacing w:before="162"/>
              <w:ind w:left="14"/>
              <w:jc w:val="both"/>
              <w:rPr>
                <w:b/>
              </w:rPr>
            </w:pPr>
            <w:proofErr w:type="spellStart"/>
            <w:proofErr w:type="gramStart"/>
            <w:r w:rsidRPr="005669CE">
              <w:rPr>
                <w:b/>
                <w:bCs/>
                <w:color w:val="000000"/>
                <w:spacing w:val="-2"/>
                <w:lang w:val="fr-FR"/>
              </w:rPr>
              <w:t>p</w:t>
            </w:r>
            <w:proofErr w:type="gramEnd"/>
            <w:r w:rsidRPr="005669CE">
              <w:rPr>
                <w:b/>
                <w:bCs/>
                <w:color w:val="000000"/>
                <w:spacing w:val="-2"/>
                <w:lang w:val="fr-FR"/>
              </w:rPr>
              <w:t>_consent</w:t>
            </w:r>
            <w:proofErr w:type="spellEnd"/>
          </w:p>
        </w:tc>
        <w:tc>
          <w:tcPr>
            <w:tcW w:w="4524" w:type="dxa"/>
          </w:tcPr>
          <w:p w14:paraId="3E9ECEFD" w14:textId="7A79E0B9" w:rsidR="000E2E95" w:rsidRPr="007803E0" w:rsidRDefault="007803E0" w:rsidP="007803E0">
            <w:pPr>
              <w:pStyle w:val="TableParagraph"/>
              <w:spacing w:before="22"/>
              <w:ind w:left="14"/>
              <w:jc w:val="both"/>
              <w:rPr>
                <w:lang w:val="fr-FR"/>
              </w:rPr>
            </w:pPr>
            <w:r w:rsidRPr="007803E0">
              <w:rPr>
                <w:color w:val="000000"/>
                <w:lang w:val="fr-FR"/>
              </w:rPr>
              <w:t>Les parents, le tuteur ou le responsable d’établissement ont-ils donné leur accord </w:t>
            </w:r>
            <w:r w:rsidR="00DB0A1C" w:rsidRPr="007803E0">
              <w:rPr>
                <w:color w:val="000000"/>
                <w:spacing w:val="-2"/>
                <w:lang w:val="fr-FR"/>
              </w:rPr>
              <w:t>?</w:t>
            </w:r>
          </w:p>
        </w:tc>
        <w:tc>
          <w:tcPr>
            <w:tcW w:w="2420" w:type="dxa"/>
          </w:tcPr>
          <w:p w14:paraId="6D778571" w14:textId="77777777" w:rsidR="000E2E95" w:rsidRPr="005669CE" w:rsidRDefault="00DB0A1C" w:rsidP="00CE74C2">
            <w:pPr>
              <w:pStyle w:val="TableParagraph"/>
              <w:spacing w:before="162"/>
              <w:ind w:left="14"/>
              <w:jc w:val="both"/>
            </w:pPr>
            <w:r w:rsidRPr="005669CE">
              <w:rPr>
                <w:color w:val="000000"/>
                <w:lang w:val="fr-FR"/>
              </w:rPr>
              <w:t xml:space="preserve"> Oui / Non</w:t>
            </w:r>
          </w:p>
        </w:tc>
      </w:tr>
      <w:tr w:rsidR="000C10E3" w14:paraId="25D67982" w14:textId="77777777" w:rsidTr="00493D79">
        <w:trPr>
          <w:trHeight w:val="599"/>
        </w:trPr>
        <w:tc>
          <w:tcPr>
            <w:tcW w:w="574" w:type="dxa"/>
          </w:tcPr>
          <w:p w14:paraId="4EF4EC54" w14:textId="77777777" w:rsidR="000E2E95" w:rsidRPr="005669CE" w:rsidRDefault="000E2E95" w:rsidP="00CE74C2">
            <w:pPr>
              <w:pStyle w:val="TableParagraph"/>
              <w:jc w:val="both"/>
              <w:rPr>
                <w:rFonts w:ascii="Times New Roman"/>
              </w:rPr>
            </w:pPr>
          </w:p>
        </w:tc>
        <w:tc>
          <w:tcPr>
            <w:tcW w:w="1843" w:type="dxa"/>
          </w:tcPr>
          <w:p w14:paraId="251B3546" w14:textId="77777777" w:rsidR="000E2E95" w:rsidRPr="005669CE" w:rsidRDefault="00DB0A1C" w:rsidP="00CE74C2">
            <w:pPr>
              <w:pStyle w:val="TableParagraph"/>
              <w:spacing w:before="162"/>
              <w:ind w:left="14"/>
              <w:jc w:val="both"/>
              <w:rPr>
                <w:b/>
              </w:rPr>
            </w:pPr>
            <w:proofErr w:type="spellStart"/>
            <w:proofErr w:type="gramStart"/>
            <w:r w:rsidRPr="005669CE">
              <w:rPr>
                <w:b/>
                <w:bCs/>
                <w:color w:val="000000"/>
                <w:spacing w:val="-2"/>
                <w:lang w:val="fr-FR"/>
              </w:rPr>
              <w:t>p</w:t>
            </w:r>
            <w:proofErr w:type="gramEnd"/>
            <w:r w:rsidRPr="005669CE">
              <w:rPr>
                <w:b/>
                <w:bCs/>
                <w:color w:val="000000"/>
                <w:spacing w:val="-2"/>
                <w:lang w:val="fr-FR"/>
              </w:rPr>
              <w:t>_assent</w:t>
            </w:r>
            <w:proofErr w:type="spellEnd"/>
          </w:p>
        </w:tc>
        <w:tc>
          <w:tcPr>
            <w:tcW w:w="4524" w:type="dxa"/>
          </w:tcPr>
          <w:p w14:paraId="1FD78158" w14:textId="77777777" w:rsidR="000E2E95" w:rsidRPr="005669CE" w:rsidRDefault="00DB0A1C" w:rsidP="00CE74C2">
            <w:pPr>
              <w:pStyle w:val="TableParagraph"/>
              <w:spacing w:before="162"/>
              <w:ind w:left="14"/>
              <w:jc w:val="both"/>
            </w:pPr>
            <w:r w:rsidRPr="005669CE">
              <w:rPr>
                <w:color w:val="000000"/>
                <w:lang w:val="fr-FR"/>
              </w:rPr>
              <w:t>L’enfant a-t-il donné son accord ?</w:t>
            </w:r>
          </w:p>
        </w:tc>
        <w:tc>
          <w:tcPr>
            <w:tcW w:w="2420" w:type="dxa"/>
          </w:tcPr>
          <w:p w14:paraId="2989C850" w14:textId="77777777" w:rsidR="000E2E95" w:rsidRPr="005669CE" w:rsidRDefault="00DB0A1C" w:rsidP="00CE74C2">
            <w:pPr>
              <w:pStyle w:val="TableParagraph"/>
              <w:spacing w:before="162"/>
              <w:ind w:left="14"/>
              <w:jc w:val="both"/>
            </w:pPr>
            <w:r w:rsidRPr="005669CE">
              <w:rPr>
                <w:color w:val="000000"/>
                <w:lang w:val="fr-FR"/>
              </w:rPr>
              <w:t>Oui / Non</w:t>
            </w:r>
          </w:p>
        </w:tc>
      </w:tr>
      <w:tr w:rsidR="000C10E3" w14:paraId="75604398" w14:textId="77777777" w:rsidTr="00493D79">
        <w:trPr>
          <w:trHeight w:val="304"/>
        </w:trPr>
        <w:tc>
          <w:tcPr>
            <w:tcW w:w="574" w:type="dxa"/>
          </w:tcPr>
          <w:p w14:paraId="30003EE7" w14:textId="77777777" w:rsidR="000E2E95" w:rsidRPr="005669CE" w:rsidRDefault="00DB0A1C" w:rsidP="00CE74C2">
            <w:pPr>
              <w:pStyle w:val="TableParagraph"/>
              <w:spacing w:before="16"/>
              <w:ind w:left="14"/>
              <w:jc w:val="both"/>
            </w:pPr>
            <w:r w:rsidRPr="005669CE">
              <w:rPr>
                <w:lang w:val="fr-FR"/>
              </w:rPr>
              <w:t>7</w:t>
            </w:r>
          </w:p>
        </w:tc>
        <w:tc>
          <w:tcPr>
            <w:tcW w:w="1843" w:type="dxa"/>
          </w:tcPr>
          <w:p w14:paraId="1479F31F" w14:textId="77777777" w:rsidR="000E2E95" w:rsidRPr="005669CE" w:rsidRDefault="00DB0A1C" w:rsidP="00CE74C2">
            <w:pPr>
              <w:pStyle w:val="TableParagraph"/>
              <w:spacing w:before="16"/>
              <w:ind w:left="14"/>
              <w:jc w:val="both"/>
              <w:rPr>
                <w:b/>
              </w:rPr>
            </w:pPr>
            <w:proofErr w:type="spellStart"/>
            <w:proofErr w:type="gramStart"/>
            <w:r w:rsidRPr="005669CE">
              <w:rPr>
                <w:b/>
                <w:bCs/>
                <w:spacing w:val="-2"/>
                <w:lang w:val="fr-FR"/>
              </w:rPr>
              <w:t>p</w:t>
            </w:r>
            <w:proofErr w:type="gramEnd"/>
            <w:r w:rsidRPr="005669CE">
              <w:rPr>
                <w:b/>
                <w:bCs/>
                <w:spacing w:val="-2"/>
                <w:lang w:val="fr-FR"/>
              </w:rPr>
              <w:t>_name</w:t>
            </w:r>
            <w:proofErr w:type="spellEnd"/>
          </w:p>
        </w:tc>
        <w:tc>
          <w:tcPr>
            <w:tcW w:w="4524" w:type="dxa"/>
          </w:tcPr>
          <w:p w14:paraId="25709F84" w14:textId="77777777" w:rsidR="000E2E95" w:rsidRPr="005669CE" w:rsidRDefault="00DB0A1C" w:rsidP="00CE74C2">
            <w:pPr>
              <w:pStyle w:val="TableParagraph"/>
              <w:spacing w:before="16"/>
              <w:ind w:left="14"/>
              <w:jc w:val="both"/>
            </w:pPr>
            <w:r w:rsidRPr="005669CE">
              <w:rPr>
                <w:lang w:val="fr-FR"/>
              </w:rPr>
              <w:t>Nom de l’élève</w:t>
            </w:r>
          </w:p>
        </w:tc>
        <w:tc>
          <w:tcPr>
            <w:tcW w:w="2420" w:type="dxa"/>
          </w:tcPr>
          <w:p w14:paraId="6CA447B8" w14:textId="77777777" w:rsidR="000E2E95" w:rsidRPr="005669CE" w:rsidRDefault="000E2E95" w:rsidP="00CE74C2">
            <w:pPr>
              <w:pStyle w:val="TableParagraph"/>
              <w:jc w:val="both"/>
              <w:rPr>
                <w:rFonts w:ascii="Times New Roman"/>
              </w:rPr>
            </w:pPr>
          </w:p>
        </w:tc>
      </w:tr>
      <w:tr w:rsidR="000C10E3" w14:paraId="005D52D4" w14:textId="77777777" w:rsidTr="00493D79">
        <w:trPr>
          <w:trHeight w:val="304"/>
        </w:trPr>
        <w:tc>
          <w:tcPr>
            <w:tcW w:w="574" w:type="dxa"/>
          </w:tcPr>
          <w:p w14:paraId="090E11D6" w14:textId="77777777" w:rsidR="000E2E95" w:rsidRPr="005669CE" w:rsidRDefault="00DB0A1C" w:rsidP="00CE74C2">
            <w:pPr>
              <w:pStyle w:val="TableParagraph"/>
              <w:spacing w:before="16"/>
              <w:ind w:left="14"/>
              <w:jc w:val="both"/>
            </w:pPr>
            <w:r w:rsidRPr="005669CE">
              <w:rPr>
                <w:lang w:val="fr-FR"/>
              </w:rPr>
              <w:t>8</w:t>
            </w:r>
          </w:p>
        </w:tc>
        <w:tc>
          <w:tcPr>
            <w:tcW w:w="1843" w:type="dxa"/>
          </w:tcPr>
          <w:p w14:paraId="7BCEFCB4" w14:textId="77777777" w:rsidR="000E2E95" w:rsidRPr="005669CE" w:rsidRDefault="00DB0A1C" w:rsidP="00CE74C2">
            <w:pPr>
              <w:pStyle w:val="TableParagraph"/>
              <w:spacing w:before="16"/>
              <w:ind w:left="14"/>
              <w:jc w:val="both"/>
              <w:rPr>
                <w:b/>
              </w:rPr>
            </w:pPr>
            <w:proofErr w:type="spellStart"/>
            <w:proofErr w:type="gramStart"/>
            <w:r w:rsidRPr="005669CE">
              <w:rPr>
                <w:b/>
                <w:bCs/>
                <w:spacing w:val="-2"/>
                <w:lang w:val="fr-FR"/>
              </w:rPr>
              <w:t>p</w:t>
            </w:r>
            <w:proofErr w:type="gramEnd"/>
            <w:r w:rsidRPr="005669CE">
              <w:rPr>
                <w:b/>
                <w:bCs/>
                <w:spacing w:val="-2"/>
                <w:lang w:val="fr-FR"/>
              </w:rPr>
              <w:t>_participant_ID</w:t>
            </w:r>
            <w:proofErr w:type="spellEnd"/>
          </w:p>
        </w:tc>
        <w:tc>
          <w:tcPr>
            <w:tcW w:w="4524" w:type="dxa"/>
          </w:tcPr>
          <w:p w14:paraId="4EC18DE9" w14:textId="77777777" w:rsidR="000E2E95" w:rsidRPr="005669CE" w:rsidRDefault="00DB0A1C" w:rsidP="00CE74C2">
            <w:pPr>
              <w:pStyle w:val="TableParagraph"/>
              <w:spacing w:before="16"/>
              <w:ind w:left="14"/>
              <w:jc w:val="both"/>
            </w:pPr>
            <w:r w:rsidRPr="005669CE">
              <w:rPr>
                <w:lang w:val="fr-FR"/>
              </w:rPr>
              <w:t>Saisir l’identifiant du participant</w:t>
            </w:r>
          </w:p>
        </w:tc>
        <w:tc>
          <w:tcPr>
            <w:tcW w:w="2420" w:type="dxa"/>
          </w:tcPr>
          <w:p w14:paraId="726DFBAF" w14:textId="77777777" w:rsidR="000E2E95" w:rsidRPr="005669CE" w:rsidRDefault="00DB0A1C" w:rsidP="00CE74C2">
            <w:pPr>
              <w:pStyle w:val="TableParagraph"/>
              <w:spacing w:before="16"/>
              <w:ind w:left="65"/>
              <w:jc w:val="both"/>
            </w:pPr>
            <w:r w:rsidRPr="005669CE">
              <w:rPr>
                <w:lang w:val="fr-FR"/>
              </w:rPr>
              <w:t>Valeur numérique restreinte (1 à 32)</w:t>
            </w:r>
          </w:p>
        </w:tc>
      </w:tr>
      <w:tr w:rsidR="000C10E3" w14:paraId="547FBCE3" w14:textId="77777777" w:rsidTr="00493D79">
        <w:trPr>
          <w:trHeight w:val="306"/>
        </w:trPr>
        <w:tc>
          <w:tcPr>
            <w:tcW w:w="574" w:type="dxa"/>
          </w:tcPr>
          <w:p w14:paraId="173F3203" w14:textId="77777777" w:rsidR="000E2E95" w:rsidRPr="005669CE" w:rsidRDefault="00DB0A1C" w:rsidP="00CE74C2">
            <w:pPr>
              <w:pStyle w:val="TableParagraph"/>
              <w:spacing w:before="16"/>
              <w:ind w:left="14"/>
              <w:jc w:val="both"/>
            </w:pPr>
            <w:r w:rsidRPr="005669CE">
              <w:rPr>
                <w:lang w:val="fr-FR"/>
              </w:rPr>
              <w:t>9</w:t>
            </w:r>
          </w:p>
        </w:tc>
        <w:tc>
          <w:tcPr>
            <w:tcW w:w="1843" w:type="dxa"/>
          </w:tcPr>
          <w:p w14:paraId="6E6E49E5" w14:textId="77777777" w:rsidR="000E2E95" w:rsidRPr="005669CE" w:rsidRDefault="00DB0A1C" w:rsidP="00CE74C2">
            <w:pPr>
              <w:pStyle w:val="TableParagraph"/>
              <w:spacing w:before="16"/>
              <w:ind w:left="14"/>
              <w:jc w:val="both"/>
              <w:rPr>
                <w:b/>
              </w:rPr>
            </w:pPr>
            <w:proofErr w:type="gramStart"/>
            <w:r w:rsidRPr="005669CE">
              <w:rPr>
                <w:b/>
                <w:bCs/>
                <w:spacing w:val="-2"/>
                <w:lang w:val="fr-FR"/>
              </w:rPr>
              <w:t>p</w:t>
            </w:r>
            <w:proofErr w:type="gramEnd"/>
            <w:r w:rsidRPr="005669CE">
              <w:rPr>
                <w:b/>
                <w:bCs/>
                <w:spacing w:val="-2"/>
                <w:lang w:val="fr-FR"/>
              </w:rPr>
              <w:t>_participant_ID2</w:t>
            </w:r>
          </w:p>
        </w:tc>
        <w:tc>
          <w:tcPr>
            <w:tcW w:w="4524" w:type="dxa"/>
          </w:tcPr>
          <w:p w14:paraId="1815D63A" w14:textId="77777777" w:rsidR="000E2E95" w:rsidRPr="005669CE" w:rsidRDefault="00DB0A1C" w:rsidP="00CE74C2">
            <w:pPr>
              <w:pStyle w:val="TableParagraph"/>
              <w:spacing w:before="16"/>
              <w:ind w:left="14"/>
              <w:jc w:val="both"/>
            </w:pPr>
            <w:r w:rsidRPr="005669CE">
              <w:rPr>
                <w:lang w:val="fr-FR"/>
              </w:rPr>
              <w:t>Saisir à nouveau l’identifiant</w:t>
            </w:r>
          </w:p>
        </w:tc>
        <w:tc>
          <w:tcPr>
            <w:tcW w:w="2420" w:type="dxa"/>
          </w:tcPr>
          <w:p w14:paraId="18C83AAD" w14:textId="77777777" w:rsidR="000E2E95" w:rsidRPr="005669CE" w:rsidRDefault="00DB0A1C" w:rsidP="00CE74C2">
            <w:pPr>
              <w:pStyle w:val="TableParagraph"/>
              <w:spacing w:before="16"/>
              <w:ind w:left="65"/>
              <w:jc w:val="both"/>
            </w:pPr>
            <w:r w:rsidRPr="005669CE">
              <w:rPr>
                <w:lang w:val="fr-FR"/>
              </w:rPr>
              <w:t>Valeur numérique restreinte (1 à 32)</w:t>
            </w:r>
          </w:p>
        </w:tc>
      </w:tr>
      <w:tr w:rsidR="000C10E3" w14:paraId="0645D9A8" w14:textId="77777777" w:rsidTr="00493D79">
        <w:trPr>
          <w:trHeight w:val="304"/>
        </w:trPr>
        <w:tc>
          <w:tcPr>
            <w:tcW w:w="574" w:type="dxa"/>
          </w:tcPr>
          <w:p w14:paraId="437E3997" w14:textId="77777777" w:rsidR="000E2E95" w:rsidRPr="005669CE" w:rsidRDefault="00DB0A1C" w:rsidP="00CE74C2">
            <w:pPr>
              <w:pStyle w:val="TableParagraph"/>
              <w:spacing w:before="13"/>
              <w:ind w:left="14"/>
              <w:jc w:val="both"/>
            </w:pPr>
            <w:r w:rsidRPr="005669CE">
              <w:rPr>
                <w:lang w:val="fr-FR"/>
              </w:rPr>
              <w:t>10</w:t>
            </w:r>
          </w:p>
        </w:tc>
        <w:tc>
          <w:tcPr>
            <w:tcW w:w="1843" w:type="dxa"/>
          </w:tcPr>
          <w:p w14:paraId="5C7429A0" w14:textId="77777777" w:rsidR="000E2E95" w:rsidRPr="005669CE" w:rsidRDefault="00DB0A1C" w:rsidP="00CE74C2">
            <w:pPr>
              <w:pStyle w:val="TableParagraph"/>
              <w:spacing w:before="13"/>
              <w:ind w:left="14"/>
              <w:jc w:val="both"/>
              <w:rPr>
                <w:b/>
              </w:rPr>
            </w:pPr>
            <w:proofErr w:type="spellStart"/>
            <w:proofErr w:type="gramStart"/>
            <w:r w:rsidRPr="005669CE">
              <w:rPr>
                <w:b/>
                <w:bCs/>
                <w:spacing w:val="-2"/>
                <w:lang w:val="fr-FR"/>
              </w:rPr>
              <w:t>p</w:t>
            </w:r>
            <w:proofErr w:type="gramEnd"/>
            <w:r w:rsidRPr="005669CE">
              <w:rPr>
                <w:b/>
                <w:bCs/>
                <w:spacing w:val="-2"/>
                <w:lang w:val="fr-FR"/>
              </w:rPr>
              <w:t>_age_yrs</w:t>
            </w:r>
            <w:proofErr w:type="spellEnd"/>
          </w:p>
        </w:tc>
        <w:tc>
          <w:tcPr>
            <w:tcW w:w="4524" w:type="dxa"/>
          </w:tcPr>
          <w:p w14:paraId="6F6DBBCF" w14:textId="77777777" w:rsidR="000E2E95" w:rsidRPr="005669CE" w:rsidRDefault="00DB0A1C" w:rsidP="00CE74C2">
            <w:pPr>
              <w:pStyle w:val="TableParagraph"/>
              <w:spacing w:before="13"/>
              <w:ind w:left="14"/>
              <w:jc w:val="both"/>
            </w:pPr>
            <w:r w:rsidRPr="005669CE">
              <w:rPr>
                <w:lang w:val="fr-FR"/>
              </w:rPr>
              <w:t>Saisir l’âge en années</w:t>
            </w:r>
          </w:p>
        </w:tc>
        <w:tc>
          <w:tcPr>
            <w:tcW w:w="2420" w:type="dxa"/>
          </w:tcPr>
          <w:p w14:paraId="5FCAE87C" w14:textId="77777777" w:rsidR="000E2E95" w:rsidRPr="005669CE" w:rsidRDefault="00DB0A1C" w:rsidP="00CE74C2">
            <w:pPr>
              <w:pStyle w:val="TableParagraph"/>
              <w:spacing w:before="13"/>
              <w:ind w:left="65"/>
              <w:jc w:val="both"/>
            </w:pPr>
            <w:r w:rsidRPr="005669CE">
              <w:rPr>
                <w:lang w:val="fr-FR"/>
              </w:rPr>
              <w:t>Valeur numérique restreinte (10 à 14)</w:t>
            </w:r>
          </w:p>
        </w:tc>
      </w:tr>
      <w:tr w:rsidR="000C10E3" w14:paraId="08D83DC0" w14:textId="77777777" w:rsidTr="00493D79">
        <w:trPr>
          <w:trHeight w:val="304"/>
        </w:trPr>
        <w:tc>
          <w:tcPr>
            <w:tcW w:w="574" w:type="dxa"/>
          </w:tcPr>
          <w:p w14:paraId="40BBB821" w14:textId="77777777" w:rsidR="000E2E95" w:rsidRPr="005669CE" w:rsidRDefault="00DB0A1C" w:rsidP="00CE74C2">
            <w:pPr>
              <w:pStyle w:val="TableParagraph"/>
              <w:spacing w:before="13"/>
              <w:ind w:left="14"/>
              <w:jc w:val="both"/>
            </w:pPr>
            <w:r w:rsidRPr="005669CE">
              <w:rPr>
                <w:lang w:val="fr-FR"/>
              </w:rPr>
              <w:t>11</w:t>
            </w:r>
          </w:p>
        </w:tc>
        <w:tc>
          <w:tcPr>
            <w:tcW w:w="1843" w:type="dxa"/>
          </w:tcPr>
          <w:p w14:paraId="7C93A95E" w14:textId="77777777" w:rsidR="000E2E95" w:rsidRPr="005669CE" w:rsidRDefault="00DB0A1C" w:rsidP="00CE74C2">
            <w:pPr>
              <w:pStyle w:val="TableParagraph"/>
              <w:spacing w:before="13"/>
              <w:ind w:left="14"/>
              <w:jc w:val="both"/>
              <w:rPr>
                <w:b/>
              </w:rPr>
            </w:pPr>
            <w:proofErr w:type="spellStart"/>
            <w:proofErr w:type="gramStart"/>
            <w:r w:rsidRPr="005669CE">
              <w:rPr>
                <w:b/>
                <w:bCs/>
                <w:spacing w:val="-2"/>
                <w:lang w:val="fr-FR"/>
              </w:rPr>
              <w:t>p</w:t>
            </w:r>
            <w:proofErr w:type="gramEnd"/>
            <w:r w:rsidRPr="005669CE">
              <w:rPr>
                <w:b/>
                <w:bCs/>
                <w:spacing w:val="-2"/>
                <w:lang w:val="fr-FR"/>
              </w:rPr>
              <w:t>_sex</w:t>
            </w:r>
            <w:proofErr w:type="spellEnd"/>
          </w:p>
        </w:tc>
        <w:tc>
          <w:tcPr>
            <w:tcW w:w="4524" w:type="dxa"/>
          </w:tcPr>
          <w:p w14:paraId="47D5841E" w14:textId="77777777" w:rsidR="000E2E95" w:rsidRPr="005669CE" w:rsidRDefault="00DB0A1C" w:rsidP="00CE74C2">
            <w:pPr>
              <w:pStyle w:val="TableParagraph"/>
              <w:spacing w:before="13"/>
              <w:ind w:left="14"/>
              <w:jc w:val="both"/>
            </w:pPr>
            <w:r w:rsidRPr="005669CE">
              <w:rPr>
                <w:lang w:val="fr-FR"/>
              </w:rPr>
              <w:t>Sélectionner le sexe</w:t>
            </w:r>
          </w:p>
        </w:tc>
        <w:tc>
          <w:tcPr>
            <w:tcW w:w="2420" w:type="dxa"/>
          </w:tcPr>
          <w:p w14:paraId="653A4E3C" w14:textId="77777777" w:rsidR="000E2E95" w:rsidRPr="005669CE" w:rsidRDefault="00DB0A1C" w:rsidP="00CE74C2">
            <w:pPr>
              <w:pStyle w:val="TableParagraph"/>
              <w:spacing w:before="13"/>
              <w:ind w:left="65"/>
              <w:jc w:val="both"/>
            </w:pPr>
            <w:r w:rsidRPr="005669CE">
              <w:rPr>
                <w:lang w:val="fr-FR"/>
              </w:rPr>
              <w:t>Homme/Femme</w:t>
            </w:r>
          </w:p>
        </w:tc>
      </w:tr>
      <w:tr w:rsidR="000C10E3" w14:paraId="26260E1D" w14:textId="77777777" w:rsidTr="00493D79">
        <w:trPr>
          <w:trHeight w:val="600"/>
        </w:trPr>
        <w:tc>
          <w:tcPr>
            <w:tcW w:w="574" w:type="dxa"/>
          </w:tcPr>
          <w:p w14:paraId="6AC59C14" w14:textId="77777777" w:rsidR="000E2E95" w:rsidRPr="005669CE" w:rsidRDefault="00DB0A1C" w:rsidP="00CE74C2">
            <w:pPr>
              <w:pStyle w:val="TableParagraph"/>
              <w:spacing w:before="162"/>
              <w:ind w:left="14"/>
              <w:jc w:val="both"/>
            </w:pPr>
            <w:r w:rsidRPr="005669CE">
              <w:rPr>
                <w:lang w:val="fr-FR"/>
              </w:rPr>
              <w:t>12</w:t>
            </w:r>
          </w:p>
        </w:tc>
        <w:tc>
          <w:tcPr>
            <w:tcW w:w="1843" w:type="dxa"/>
          </w:tcPr>
          <w:p w14:paraId="3A01A759" w14:textId="77777777" w:rsidR="000E2E95" w:rsidRPr="005669CE" w:rsidRDefault="00DB0A1C" w:rsidP="00CE74C2">
            <w:pPr>
              <w:pStyle w:val="TableParagraph"/>
              <w:spacing w:before="162"/>
              <w:ind w:left="14"/>
              <w:jc w:val="both"/>
              <w:rPr>
                <w:b/>
              </w:rPr>
            </w:pPr>
            <w:proofErr w:type="spellStart"/>
            <w:proofErr w:type="gramStart"/>
            <w:r w:rsidRPr="005669CE">
              <w:rPr>
                <w:b/>
                <w:bCs/>
                <w:spacing w:val="-2"/>
                <w:lang w:val="fr-FR"/>
              </w:rPr>
              <w:t>p</w:t>
            </w:r>
            <w:proofErr w:type="gramEnd"/>
            <w:r w:rsidRPr="005669CE">
              <w:rPr>
                <w:b/>
                <w:bCs/>
                <w:spacing w:val="-2"/>
                <w:lang w:val="fr-FR"/>
              </w:rPr>
              <w:t>_stoolsucces</w:t>
            </w:r>
            <w:proofErr w:type="spellEnd"/>
          </w:p>
        </w:tc>
        <w:tc>
          <w:tcPr>
            <w:tcW w:w="4524" w:type="dxa"/>
          </w:tcPr>
          <w:p w14:paraId="3223061B" w14:textId="2C296DD1" w:rsidR="000E2E95" w:rsidRPr="00FE4D53" w:rsidRDefault="00FE4D53" w:rsidP="00FE4D53">
            <w:pPr>
              <w:pStyle w:val="TableParagraph"/>
              <w:spacing w:before="20"/>
              <w:ind w:left="14"/>
              <w:jc w:val="both"/>
              <w:rPr>
                <w:lang w:val="fr-FR"/>
              </w:rPr>
            </w:pPr>
            <w:r w:rsidRPr="00FE4D53">
              <w:rPr>
                <w:lang w:val="fr-FR"/>
              </w:rPr>
              <w:t>Un échantillon de selles a-t-il été prélevé avec succès sur cette personne </w:t>
            </w:r>
            <w:r w:rsidR="00DB0A1C" w:rsidRPr="00FE4D53">
              <w:rPr>
                <w:lang w:val="fr-FR"/>
              </w:rPr>
              <w:t>?</w:t>
            </w:r>
          </w:p>
        </w:tc>
        <w:tc>
          <w:tcPr>
            <w:tcW w:w="2420" w:type="dxa"/>
          </w:tcPr>
          <w:p w14:paraId="04AE19F2" w14:textId="77777777" w:rsidR="000E2E95" w:rsidRPr="00FE4D53" w:rsidRDefault="00DB0A1C" w:rsidP="00CE74C2">
            <w:pPr>
              <w:pStyle w:val="TableParagraph"/>
              <w:spacing w:before="162"/>
              <w:ind w:left="65"/>
              <w:jc w:val="both"/>
              <w:rPr>
                <w:lang w:val="fr-FR"/>
              </w:rPr>
            </w:pPr>
            <w:r w:rsidRPr="00FE4D53">
              <w:rPr>
                <w:lang w:val="fr-FR"/>
              </w:rPr>
              <w:t>Oui / Non</w:t>
            </w:r>
          </w:p>
        </w:tc>
      </w:tr>
      <w:tr w:rsidR="000C10E3" w14:paraId="6CB336EA" w14:textId="77777777" w:rsidTr="00493D79">
        <w:trPr>
          <w:trHeight w:val="599"/>
        </w:trPr>
        <w:tc>
          <w:tcPr>
            <w:tcW w:w="574" w:type="dxa"/>
          </w:tcPr>
          <w:p w14:paraId="1CF84707" w14:textId="77777777" w:rsidR="000E2E95" w:rsidRPr="005669CE" w:rsidRDefault="00DB0A1C" w:rsidP="00CE74C2">
            <w:pPr>
              <w:pStyle w:val="TableParagraph"/>
              <w:spacing w:before="162"/>
              <w:ind w:left="14"/>
              <w:jc w:val="both"/>
            </w:pPr>
            <w:r w:rsidRPr="005669CE">
              <w:rPr>
                <w:lang w:val="fr-FR"/>
              </w:rPr>
              <w:t>13</w:t>
            </w:r>
          </w:p>
        </w:tc>
        <w:tc>
          <w:tcPr>
            <w:tcW w:w="1843" w:type="dxa"/>
          </w:tcPr>
          <w:p w14:paraId="7BC99EDF" w14:textId="77777777" w:rsidR="000E2E95" w:rsidRPr="005669CE" w:rsidRDefault="00DB0A1C" w:rsidP="00CE74C2">
            <w:pPr>
              <w:pStyle w:val="TableParagraph"/>
              <w:spacing w:before="162"/>
              <w:ind w:left="14"/>
              <w:jc w:val="both"/>
              <w:rPr>
                <w:b/>
              </w:rPr>
            </w:pPr>
            <w:proofErr w:type="spellStart"/>
            <w:proofErr w:type="gramStart"/>
            <w:r w:rsidRPr="005669CE">
              <w:rPr>
                <w:b/>
                <w:bCs/>
                <w:spacing w:val="-2"/>
                <w:lang w:val="fr-FR"/>
              </w:rPr>
              <w:t>p</w:t>
            </w:r>
            <w:proofErr w:type="gramEnd"/>
            <w:r w:rsidRPr="005669CE">
              <w:rPr>
                <w:b/>
                <w:bCs/>
                <w:spacing w:val="-2"/>
                <w:lang w:val="fr-FR"/>
              </w:rPr>
              <w:t>_urinesucces</w:t>
            </w:r>
            <w:proofErr w:type="spellEnd"/>
          </w:p>
        </w:tc>
        <w:tc>
          <w:tcPr>
            <w:tcW w:w="4524" w:type="dxa"/>
          </w:tcPr>
          <w:p w14:paraId="4B5401E6" w14:textId="19AE31BF" w:rsidR="000E2E95" w:rsidRPr="00FE4D53" w:rsidRDefault="00FE4D53" w:rsidP="00FE4D53">
            <w:pPr>
              <w:pStyle w:val="TableParagraph"/>
              <w:spacing w:before="19"/>
              <w:ind w:left="14"/>
              <w:jc w:val="both"/>
              <w:rPr>
                <w:lang w:val="fr-FR"/>
              </w:rPr>
            </w:pPr>
            <w:r w:rsidRPr="00FE4D53">
              <w:rPr>
                <w:lang w:val="fr-FR"/>
              </w:rPr>
              <w:t>Un échantillon d’urine a-t-il été prélevé avec succès sur cette personne </w:t>
            </w:r>
            <w:r w:rsidR="00DB0A1C" w:rsidRPr="00FE4D53">
              <w:rPr>
                <w:lang w:val="fr-FR"/>
              </w:rPr>
              <w:t>?</w:t>
            </w:r>
          </w:p>
        </w:tc>
        <w:tc>
          <w:tcPr>
            <w:tcW w:w="2420" w:type="dxa"/>
          </w:tcPr>
          <w:p w14:paraId="70D9C04D" w14:textId="77777777" w:rsidR="000E2E95" w:rsidRPr="00FE4D53" w:rsidRDefault="00DB0A1C" w:rsidP="00CE74C2">
            <w:pPr>
              <w:pStyle w:val="TableParagraph"/>
              <w:spacing w:before="162"/>
              <w:ind w:left="65"/>
              <w:jc w:val="both"/>
              <w:rPr>
                <w:lang w:val="fr-FR"/>
              </w:rPr>
            </w:pPr>
            <w:r w:rsidRPr="00FE4D53">
              <w:rPr>
                <w:lang w:val="fr-FR"/>
              </w:rPr>
              <w:t>Oui / Non</w:t>
            </w:r>
          </w:p>
        </w:tc>
      </w:tr>
      <w:tr w:rsidR="000C10E3" w14:paraId="62934C20" w14:textId="77777777" w:rsidTr="00493D79">
        <w:trPr>
          <w:trHeight w:val="599"/>
        </w:trPr>
        <w:tc>
          <w:tcPr>
            <w:tcW w:w="574" w:type="dxa"/>
          </w:tcPr>
          <w:p w14:paraId="324EB368" w14:textId="77777777" w:rsidR="000E2E95" w:rsidRPr="005669CE" w:rsidRDefault="00DB0A1C" w:rsidP="00CE74C2">
            <w:pPr>
              <w:pStyle w:val="TableParagraph"/>
              <w:spacing w:before="162"/>
              <w:ind w:left="14"/>
              <w:jc w:val="both"/>
            </w:pPr>
            <w:r w:rsidRPr="005669CE">
              <w:rPr>
                <w:lang w:val="fr-FR"/>
              </w:rPr>
              <w:t>14</w:t>
            </w:r>
          </w:p>
        </w:tc>
        <w:tc>
          <w:tcPr>
            <w:tcW w:w="1843" w:type="dxa"/>
          </w:tcPr>
          <w:p w14:paraId="10457520" w14:textId="77777777" w:rsidR="000E2E95" w:rsidRPr="005669CE" w:rsidRDefault="00DB0A1C" w:rsidP="00CE74C2">
            <w:pPr>
              <w:pStyle w:val="TableParagraph"/>
              <w:spacing w:before="162"/>
              <w:ind w:left="14"/>
              <w:jc w:val="both"/>
              <w:rPr>
                <w:b/>
              </w:rPr>
            </w:pPr>
            <w:proofErr w:type="spellStart"/>
            <w:proofErr w:type="gramStart"/>
            <w:r w:rsidRPr="005669CE">
              <w:rPr>
                <w:b/>
                <w:bCs/>
                <w:spacing w:val="-2"/>
                <w:lang w:val="fr-FR"/>
              </w:rPr>
              <w:t>p</w:t>
            </w:r>
            <w:proofErr w:type="gramEnd"/>
            <w:r w:rsidRPr="005669CE">
              <w:rPr>
                <w:b/>
                <w:bCs/>
                <w:spacing w:val="-2"/>
                <w:lang w:val="fr-FR"/>
              </w:rPr>
              <w:t>_child_treat</w:t>
            </w:r>
            <w:proofErr w:type="spellEnd"/>
          </w:p>
        </w:tc>
        <w:tc>
          <w:tcPr>
            <w:tcW w:w="4524" w:type="dxa"/>
          </w:tcPr>
          <w:p w14:paraId="6312CCE6" w14:textId="4A0CCB44" w:rsidR="000E2E95" w:rsidRPr="00FE4D53" w:rsidRDefault="00FE4D53" w:rsidP="00FE4D53">
            <w:pPr>
              <w:pStyle w:val="TableParagraph"/>
              <w:spacing w:before="22"/>
              <w:ind w:left="14"/>
              <w:jc w:val="both"/>
              <w:rPr>
                <w:lang w:val="fr-FR"/>
              </w:rPr>
            </w:pPr>
            <w:r w:rsidRPr="00FE4D53">
              <w:rPr>
                <w:lang w:val="fr-FR"/>
              </w:rPr>
              <w:t>Avez-vous déjà été traité par PZQ ? (</w:t>
            </w:r>
            <w:proofErr w:type="gramStart"/>
            <w:r w:rsidRPr="00FE4D53">
              <w:rPr>
                <w:lang w:val="fr-FR"/>
              </w:rPr>
              <w:t>montrer</w:t>
            </w:r>
            <w:proofErr w:type="gramEnd"/>
            <w:r w:rsidRPr="00FE4D53">
              <w:rPr>
                <w:lang w:val="fr-FR"/>
              </w:rPr>
              <w:t xml:space="preserve"> le comprimé ou la photo du comprimé)</w:t>
            </w:r>
          </w:p>
        </w:tc>
        <w:tc>
          <w:tcPr>
            <w:tcW w:w="2420" w:type="dxa"/>
          </w:tcPr>
          <w:p w14:paraId="634B80A6" w14:textId="77777777" w:rsidR="000E2E95" w:rsidRPr="00FE4D53" w:rsidRDefault="00DB0A1C" w:rsidP="00CE74C2">
            <w:pPr>
              <w:pStyle w:val="TableParagraph"/>
              <w:spacing w:before="162"/>
              <w:ind w:left="14"/>
              <w:jc w:val="both"/>
              <w:rPr>
                <w:lang w:val="fr-FR"/>
              </w:rPr>
            </w:pPr>
            <w:r w:rsidRPr="00FE4D53">
              <w:rPr>
                <w:lang w:val="fr-FR"/>
              </w:rPr>
              <w:t>Oui/Non/Je ne me souviens pas</w:t>
            </w:r>
          </w:p>
        </w:tc>
      </w:tr>
      <w:tr w:rsidR="000C10E3" w14:paraId="001EEAEF" w14:textId="77777777" w:rsidTr="00493D79">
        <w:trPr>
          <w:trHeight w:val="601"/>
        </w:trPr>
        <w:tc>
          <w:tcPr>
            <w:tcW w:w="574" w:type="dxa"/>
          </w:tcPr>
          <w:p w14:paraId="47DC5013" w14:textId="77777777" w:rsidR="000E2E95" w:rsidRPr="005669CE" w:rsidRDefault="00DB0A1C" w:rsidP="00CE74C2">
            <w:pPr>
              <w:pStyle w:val="TableParagraph"/>
              <w:spacing w:before="162"/>
              <w:ind w:left="14"/>
              <w:jc w:val="both"/>
            </w:pPr>
            <w:r w:rsidRPr="005669CE">
              <w:rPr>
                <w:lang w:val="fr-FR"/>
              </w:rPr>
              <w:t>15</w:t>
            </w:r>
          </w:p>
        </w:tc>
        <w:tc>
          <w:tcPr>
            <w:tcW w:w="1843" w:type="dxa"/>
          </w:tcPr>
          <w:p w14:paraId="69F8CAAE" w14:textId="77777777" w:rsidR="000E2E95" w:rsidRPr="005669CE" w:rsidRDefault="00DB0A1C" w:rsidP="00CE74C2">
            <w:pPr>
              <w:pStyle w:val="TableParagraph"/>
              <w:spacing w:before="162"/>
              <w:ind w:left="14"/>
              <w:jc w:val="both"/>
              <w:rPr>
                <w:b/>
              </w:rPr>
            </w:pPr>
            <w:proofErr w:type="spellStart"/>
            <w:proofErr w:type="gramStart"/>
            <w:r w:rsidRPr="005669CE">
              <w:rPr>
                <w:b/>
                <w:bCs/>
                <w:spacing w:val="-2"/>
                <w:lang w:val="fr-FR"/>
              </w:rPr>
              <w:t>p</w:t>
            </w:r>
            <w:proofErr w:type="gramEnd"/>
            <w:r w:rsidRPr="005669CE">
              <w:rPr>
                <w:b/>
                <w:bCs/>
                <w:spacing w:val="-2"/>
                <w:lang w:val="fr-FR"/>
              </w:rPr>
              <w:t>_always_lived</w:t>
            </w:r>
            <w:proofErr w:type="spellEnd"/>
          </w:p>
        </w:tc>
        <w:tc>
          <w:tcPr>
            <w:tcW w:w="4524" w:type="dxa"/>
          </w:tcPr>
          <w:p w14:paraId="5CD59276" w14:textId="12591805" w:rsidR="000E2E95" w:rsidRPr="00FE4D53" w:rsidRDefault="00FE4D53" w:rsidP="00FE4D53">
            <w:pPr>
              <w:pStyle w:val="TableParagraph"/>
              <w:spacing w:before="22"/>
              <w:ind w:left="14"/>
              <w:jc w:val="both"/>
              <w:rPr>
                <w:lang w:val="fr-FR"/>
              </w:rPr>
            </w:pPr>
            <w:r w:rsidRPr="00FE4D53">
              <w:rPr>
                <w:lang w:val="fr-FR"/>
              </w:rPr>
              <w:t>Avez-vous toujours vécu ici, dans cette communauté </w:t>
            </w:r>
            <w:r w:rsidR="00DB0A1C" w:rsidRPr="00FE4D53">
              <w:rPr>
                <w:spacing w:val="-2"/>
                <w:lang w:val="fr-FR"/>
              </w:rPr>
              <w:t>?</w:t>
            </w:r>
          </w:p>
        </w:tc>
        <w:tc>
          <w:tcPr>
            <w:tcW w:w="2420" w:type="dxa"/>
          </w:tcPr>
          <w:p w14:paraId="0860AECF" w14:textId="77777777" w:rsidR="000E2E95" w:rsidRPr="00FE4D53" w:rsidRDefault="00DB0A1C" w:rsidP="00CE74C2">
            <w:pPr>
              <w:pStyle w:val="TableParagraph"/>
              <w:spacing w:before="162"/>
              <w:ind w:left="14"/>
              <w:jc w:val="both"/>
              <w:rPr>
                <w:lang w:val="fr-FR"/>
              </w:rPr>
            </w:pPr>
            <w:r w:rsidRPr="00FE4D53">
              <w:rPr>
                <w:lang w:val="fr-FR"/>
              </w:rPr>
              <w:t>Oui / Non</w:t>
            </w:r>
          </w:p>
        </w:tc>
      </w:tr>
      <w:tr w:rsidR="000C10E3" w14:paraId="12932360" w14:textId="77777777" w:rsidTr="00493D79">
        <w:trPr>
          <w:trHeight w:val="882"/>
        </w:trPr>
        <w:tc>
          <w:tcPr>
            <w:tcW w:w="574" w:type="dxa"/>
          </w:tcPr>
          <w:p w14:paraId="3D277AFC" w14:textId="77777777" w:rsidR="000E2E95" w:rsidRPr="005669CE" w:rsidRDefault="000E2E95" w:rsidP="00CE74C2">
            <w:pPr>
              <w:pStyle w:val="TableParagraph"/>
              <w:jc w:val="both"/>
              <w:rPr>
                <w:rFonts w:ascii="Times New Roman"/>
              </w:rPr>
            </w:pPr>
          </w:p>
        </w:tc>
        <w:tc>
          <w:tcPr>
            <w:tcW w:w="1843" w:type="dxa"/>
          </w:tcPr>
          <w:p w14:paraId="2EA5FD2D" w14:textId="77777777" w:rsidR="000E2E95" w:rsidRPr="005669CE" w:rsidRDefault="000E2E95" w:rsidP="00CE74C2">
            <w:pPr>
              <w:pStyle w:val="TableParagraph"/>
              <w:spacing w:before="35"/>
              <w:jc w:val="both"/>
              <w:rPr>
                <w:rFonts w:ascii="Calibri Light"/>
              </w:rPr>
            </w:pPr>
          </w:p>
          <w:p w14:paraId="30EE713A" w14:textId="77777777" w:rsidR="000E2E95" w:rsidRPr="005669CE" w:rsidRDefault="00DB0A1C" w:rsidP="00CE74C2">
            <w:pPr>
              <w:pStyle w:val="TableParagraph"/>
              <w:ind w:left="14"/>
              <w:jc w:val="both"/>
              <w:rPr>
                <w:b/>
              </w:rPr>
            </w:pPr>
            <w:proofErr w:type="spellStart"/>
            <w:r w:rsidRPr="005669CE">
              <w:rPr>
                <w:b/>
                <w:bCs/>
                <w:spacing w:val="-2"/>
                <w:lang w:val="fr-FR"/>
              </w:rPr>
              <w:t>P_long_lived</w:t>
            </w:r>
            <w:proofErr w:type="spellEnd"/>
          </w:p>
        </w:tc>
        <w:tc>
          <w:tcPr>
            <w:tcW w:w="4524" w:type="dxa"/>
          </w:tcPr>
          <w:p w14:paraId="467A9BA8" w14:textId="77777777" w:rsidR="000E2E95" w:rsidRPr="00FE4D53" w:rsidRDefault="000E2E95" w:rsidP="00CE74C2">
            <w:pPr>
              <w:pStyle w:val="TableParagraph"/>
              <w:spacing w:before="35"/>
              <w:jc w:val="both"/>
              <w:rPr>
                <w:rFonts w:ascii="Calibri Light"/>
                <w:lang w:val="fr-FR"/>
              </w:rPr>
            </w:pPr>
          </w:p>
          <w:p w14:paraId="68B250D9" w14:textId="77777777" w:rsidR="000E2E95" w:rsidRPr="00FE4D53" w:rsidRDefault="00DB0A1C" w:rsidP="00CE74C2">
            <w:pPr>
              <w:pStyle w:val="TableParagraph"/>
              <w:ind w:left="14"/>
              <w:jc w:val="both"/>
              <w:rPr>
                <w:lang w:val="fr-FR"/>
              </w:rPr>
            </w:pPr>
            <w:r w:rsidRPr="00FE4D53">
              <w:rPr>
                <w:i/>
                <w:iCs/>
                <w:lang w:val="fr-FR"/>
              </w:rPr>
              <w:t>Si non</w:t>
            </w:r>
            <w:r w:rsidRPr="00FE4D53">
              <w:rPr>
                <w:lang w:val="fr-FR"/>
              </w:rPr>
              <w:t>, quand êtes-vous arrivé ici ?</w:t>
            </w:r>
          </w:p>
        </w:tc>
        <w:tc>
          <w:tcPr>
            <w:tcW w:w="2420" w:type="dxa"/>
          </w:tcPr>
          <w:p w14:paraId="4332E54A" w14:textId="6D15DCE5" w:rsidR="000E2E95" w:rsidRPr="00FE4D53" w:rsidRDefault="00FE4D53" w:rsidP="00FE4D53">
            <w:pPr>
              <w:pStyle w:val="TableParagraph"/>
              <w:spacing w:before="1"/>
              <w:ind w:left="14"/>
              <w:jc w:val="both"/>
              <w:rPr>
                <w:lang w:val="fr-FR"/>
              </w:rPr>
            </w:pPr>
            <w:r w:rsidRPr="00FE4D53">
              <w:rPr>
                <w:lang w:val="fr-FR"/>
              </w:rPr>
              <w:t>Au cours de l’année dernière/Il y a plus d’un an/Je ne me souviens pas</w:t>
            </w:r>
          </w:p>
        </w:tc>
      </w:tr>
      <w:tr w:rsidR="000C10E3" w14:paraId="0C7D26B7" w14:textId="77777777" w:rsidTr="00493D79">
        <w:trPr>
          <w:trHeight w:val="602"/>
        </w:trPr>
        <w:tc>
          <w:tcPr>
            <w:tcW w:w="574" w:type="dxa"/>
          </w:tcPr>
          <w:p w14:paraId="31C0C509" w14:textId="77777777" w:rsidR="000E2E95" w:rsidRPr="005669CE" w:rsidRDefault="00DB0A1C" w:rsidP="00CE74C2">
            <w:pPr>
              <w:pStyle w:val="TableParagraph"/>
              <w:spacing w:before="163"/>
              <w:ind w:left="14"/>
              <w:jc w:val="both"/>
            </w:pPr>
            <w:r w:rsidRPr="005669CE">
              <w:rPr>
                <w:lang w:val="fr-FR"/>
              </w:rPr>
              <w:t>16</w:t>
            </w:r>
          </w:p>
        </w:tc>
        <w:tc>
          <w:tcPr>
            <w:tcW w:w="1843" w:type="dxa"/>
          </w:tcPr>
          <w:p w14:paraId="4B53B5B9" w14:textId="77777777" w:rsidR="000E2E95" w:rsidRPr="005669CE" w:rsidRDefault="00DB0A1C" w:rsidP="00CE74C2">
            <w:pPr>
              <w:pStyle w:val="TableParagraph"/>
              <w:spacing w:before="163"/>
              <w:ind w:left="14"/>
              <w:jc w:val="both"/>
              <w:rPr>
                <w:b/>
              </w:rPr>
            </w:pPr>
            <w:proofErr w:type="spellStart"/>
            <w:proofErr w:type="gramStart"/>
            <w:r w:rsidRPr="005669CE">
              <w:rPr>
                <w:b/>
                <w:bCs/>
                <w:spacing w:val="-2"/>
                <w:lang w:val="fr-FR"/>
              </w:rPr>
              <w:t>p</w:t>
            </w:r>
            <w:proofErr w:type="gramEnd"/>
            <w:r w:rsidRPr="005669CE">
              <w:rPr>
                <w:b/>
                <w:bCs/>
                <w:spacing w:val="-2"/>
                <w:lang w:val="fr-FR"/>
              </w:rPr>
              <w:t>_water_play</w:t>
            </w:r>
            <w:proofErr w:type="spellEnd"/>
          </w:p>
        </w:tc>
        <w:tc>
          <w:tcPr>
            <w:tcW w:w="4524" w:type="dxa"/>
          </w:tcPr>
          <w:p w14:paraId="7A76C7D9" w14:textId="0A806DA6" w:rsidR="000E2E95" w:rsidRPr="00FE4D53" w:rsidRDefault="00FE4D53" w:rsidP="00FE4D53">
            <w:pPr>
              <w:pStyle w:val="TableParagraph"/>
              <w:spacing w:before="21"/>
              <w:ind w:left="14"/>
              <w:jc w:val="both"/>
              <w:rPr>
                <w:lang w:val="fr-FR"/>
              </w:rPr>
            </w:pPr>
            <w:r w:rsidRPr="00FE4D53">
              <w:rPr>
                <w:lang w:val="fr-FR"/>
              </w:rPr>
              <w:t>Vous êtes-vous baigné, avez-vous nagé ou avez-vous joué dans les rivières, les ruisseaux ou les étangs des environs au cours de la semaine dernière </w:t>
            </w:r>
            <w:r w:rsidR="00DB0A1C" w:rsidRPr="00FE4D53">
              <w:rPr>
                <w:lang w:val="fr-FR"/>
              </w:rPr>
              <w:t>?</w:t>
            </w:r>
          </w:p>
        </w:tc>
        <w:tc>
          <w:tcPr>
            <w:tcW w:w="2420" w:type="dxa"/>
          </w:tcPr>
          <w:p w14:paraId="39DDC937" w14:textId="77777777" w:rsidR="000E2E95" w:rsidRPr="00FE4D53" w:rsidRDefault="00DB0A1C" w:rsidP="00CE74C2">
            <w:pPr>
              <w:pStyle w:val="TableParagraph"/>
              <w:spacing w:before="163"/>
              <w:ind w:left="14"/>
              <w:jc w:val="both"/>
              <w:rPr>
                <w:lang w:val="fr-FR"/>
              </w:rPr>
            </w:pPr>
            <w:r w:rsidRPr="00FE4D53">
              <w:rPr>
                <w:lang w:val="fr-FR"/>
              </w:rPr>
              <w:t>Oui/Non</w:t>
            </w:r>
          </w:p>
        </w:tc>
      </w:tr>
      <w:tr w:rsidR="000C10E3" w14:paraId="53428D24" w14:textId="77777777" w:rsidTr="00493D79">
        <w:trPr>
          <w:trHeight w:val="599"/>
        </w:trPr>
        <w:tc>
          <w:tcPr>
            <w:tcW w:w="574" w:type="dxa"/>
          </w:tcPr>
          <w:p w14:paraId="3842E4E4" w14:textId="77777777" w:rsidR="000E2E95" w:rsidRPr="005669CE" w:rsidRDefault="00DB0A1C" w:rsidP="00CE74C2">
            <w:pPr>
              <w:pStyle w:val="TableParagraph"/>
              <w:spacing w:before="160"/>
              <w:ind w:left="14"/>
              <w:jc w:val="both"/>
            </w:pPr>
            <w:r w:rsidRPr="005669CE">
              <w:rPr>
                <w:lang w:val="fr-FR"/>
              </w:rPr>
              <w:t>17</w:t>
            </w:r>
          </w:p>
        </w:tc>
        <w:tc>
          <w:tcPr>
            <w:tcW w:w="1843" w:type="dxa"/>
          </w:tcPr>
          <w:p w14:paraId="7953D152" w14:textId="77777777" w:rsidR="000E2E95" w:rsidRPr="005669CE" w:rsidRDefault="00DB0A1C" w:rsidP="00CE74C2">
            <w:pPr>
              <w:pStyle w:val="TableParagraph"/>
              <w:spacing w:before="160"/>
              <w:ind w:left="14"/>
              <w:jc w:val="both"/>
              <w:rPr>
                <w:b/>
              </w:rPr>
            </w:pPr>
            <w:proofErr w:type="spellStart"/>
            <w:proofErr w:type="gramStart"/>
            <w:r w:rsidRPr="005669CE">
              <w:rPr>
                <w:b/>
                <w:bCs/>
                <w:spacing w:val="-2"/>
                <w:lang w:val="fr-FR"/>
              </w:rPr>
              <w:t>p</w:t>
            </w:r>
            <w:proofErr w:type="gramEnd"/>
            <w:r w:rsidRPr="005669CE">
              <w:rPr>
                <w:b/>
                <w:bCs/>
                <w:spacing w:val="-2"/>
                <w:lang w:val="fr-FR"/>
              </w:rPr>
              <w:t>_water_fish</w:t>
            </w:r>
            <w:proofErr w:type="spellEnd"/>
          </w:p>
        </w:tc>
        <w:tc>
          <w:tcPr>
            <w:tcW w:w="4524" w:type="dxa"/>
          </w:tcPr>
          <w:p w14:paraId="474060DA" w14:textId="0E54C91B" w:rsidR="000E2E95" w:rsidRPr="00FE4D53" w:rsidRDefault="00FE4D53" w:rsidP="00FE4D53">
            <w:pPr>
              <w:pStyle w:val="TableParagraph"/>
              <w:spacing w:before="21"/>
              <w:ind w:left="14"/>
              <w:jc w:val="both"/>
              <w:rPr>
                <w:lang w:val="fr-FR"/>
              </w:rPr>
            </w:pPr>
            <w:r w:rsidRPr="00FE4D53">
              <w:rPr>
                <w:lang w:val="fr-FR"/>
              </w:rPr>
              <w:t>Avez-vous pêché dans les rivières, les ruisseaux ou les étangs des environs au cours de la semaine dernière </w:t>
            </w:r>
            <w:r w:rsidR="00DB0A1C" w:rsidRPr="00FE4D53">
              <w:rPr>
                <w:lang w:val="fr-FR"/>
              </w:rPr>
              <w:t>?</w:t>
            </w:r>
          </w:p>
        </w:tc>
        <w:tc>
          <w:tcPr>
            <w:tcW w:w="2420" w:type="dxa"/>
          </w:tcPr>
          <w:p w14:paraId="0BD05B13" w14:textId="77777777" w:rsidR="000E2E95" w:rsidRPr="00FE4D53" w:rsidRDefault="00DB0A1C" w:rsidP="00CE74C2">
            <w:pPr>
              <w:pStyle w:val="TableParagraph"/>
              <w:spacing w:before="160"/>
              <w:ind w:left="14"/>
              <w:jc w:val="both"/>
              <w:rPr>
                <w:lang w:val="fr-FR"/>
              </w:rPr>
            </w:pPr>
            <w:r w:rsidRPr="00FE4D53">
              <w:rPr>
                <w:lang w:val="fr-FR"/>
              </w:rPr>
              <w:t>Oui/Non</w:t>
            </w:r>
          </w:p>
        </w:tc>
      </w:tr>
      <w:tr w:rsidR="000C10E3" w14:paraId="5D296195" w14:textId="77777777" w:rsidTr="00493D79">
        <w:trPr>
          <w:trHeight w:val="599"/>
        </w:trPr>
        <w:tc>
          <w:tcPr>
            <w:tcW w:w="574" w:type="dxa"/>
          </w:tcPr>
          <w:p w14:paraId="3B2D827C" w14:textId="77777777" w:rsidR="000E2E95" w:rsidRPr="005669CE" w:rsidRDefault="00DB0A1C" w:rsidP="00CE74C2">
            <w:pPr>
              <w:pStyle w:val="TableParagraph"/>
              <w:spacing w:before="162"/>
              <w:ind w:left="14"/>
              <w:jc w:val="both"/>
            </w:pPr>
            <w:r w:rsidRPr="005669CE">
              <w:rPr>
                <w:lang w:val="fr-FR"/>
              </w:rPr>
              <w:t>18</w:t>
            </w:r>
          </w:p>
        </w:tc>
        <w:tc>
          <w:tcPr>
            <w:tcW w:w="1843" w:type="dxa"/>
          </w:tcPr>
          <w:p w14:paraId="5BF391CE" w14:textId="77777777" w:rsidR="000E2E95" w:rsidRPr="005669CE" w:rsidRDefault="00DB0A1C" w:rsidP="00CE74C2">
            <w:pPr>
              <w:pStyle w:val="TableParagraph"/>
              <w:spacing w:before="162"/>
              <w:ind w:left="14"/>
              <w:jc w:val="both"/>
              <w:rPr>
                <w:b/>
              </w:rPr>
            </w:pPr>
            <w:proofErr w:type="spellStart"/>
            <w:proofErr w:type="gramStart"/>
            <w:r w:rsidRPr="005669CE">
              <w:rPr>
                <w:b/>
                <w:bCs/>
                <w:spacing w:val="-2"/>
                <w:lang w:val="fr-FR"/>
              </w:rPr>
              <w:t>p</w:t>
            </w:r>
            <w:proofErr w:type="gramEnd"/>
            <w:r w:rsidRPr="005669CE">
              <w:rPr>
                <w:b/>
                <w:bCs/>
                <w:spacing w:val="-2"/>
                <w:lang w:val="fr-FR"/>
              </w:rPr>
              <w:t>_remarks</w:t>
            </w:r>
            <w:proofErr w:type="spellEnd"/>
          </w:p>
        </w:tc>
        <w:tc>
          <w:tcPr>
            <w:tcW w:w="4524" w:type="dxa"/>
          </w:tcPr>
          <w:p w14:paraId="2A2D85F9" w14:textId="77777777" w:rsidR="000E2E95" w:rsidRPr="005669CE" w:rsidRDefault="00DB0A1C" w:rsidP="00CE74C2">
            <w:pPr>
              <w:pStyle w:val="TableParagraph"/>
              <w:spacing w:before="162"/>
              <w:ind w:left="14"/>
              <w:jc w:val="both"/>
            </w:pPr>
            <w:r w:rsidRPr="005669CE">
              <w:rPr>
                <w:lang w:val="fr-FR"/>
              </w:rPr>
              <w:t>Commentaire supplémentaire</w:t>
            </w:r>
          </w:p>
        </w:tc>
        <w:tc>
          <w:tcPr>
            <w:tcW w:w="2420" w:type="dxa"/>
          </w:tcPr>
          <w:p w14:paraId="2F7957C8" w14:textId="77777777" w:rsidR="000E2E95" w:rsidRPr="005669CE" w:rsidRDefault="000E2E95" w:rsidP="00CE74C2">
            <w:pPr>
              <w:pStyle w:val="TableParagraph"/>
              <w:jc w:val="both"/>
              <w:rPr>
                <w:rFonts w:ascii="Times New Roman"/>
              </w:rPr>
            </w:pPr>
          </w:p>
        </w:tc>
      </w:tr>
    </w:tbl>
    <w:p w14:paraId="17916760" w14:textId="77777777" w:rsidR="000E2E95" w:rsidRPr="005669CE" w:rsidRDefault="000E2E95" w:rsidP="00CE74C2">
      <w:pPr>
        <w:jc w:val="both"/>
        <w:rPr>
          <w:rFonts w:ascii="Times New Roman"/>
        </w:rPr>
        <w:sectPr w:rsidR="000E2E95" w:rsidRPr="005669CE" w:rsidSect="008622E9">
          <w:pgSz w:w="12240" w:h="15840"/>
          <w:pgMar w:top="1440" w:right="1077" w:bottom="1440" w:left="1077" w:header="720" w:footer="720" w:gutter="0"/>
          <w:cols w:space="720"/>
        </w:sectPr>
      </w:pPr>
    </w:p>
    <w:p w14:paraId="403783F9" w14:textId="77777777" w:rsidR="000E2E95" w:rsidRPr="005669CE" w:rsidRDefault="00DB0A1C" w:rsidP="00CA3898">
      <w:pPr>
        <w:pStyle w:val="Heading2"/>
        <w:ind w:left="0"/>
      </w:pPr>
      <w:bookmarkStart w:id="54" w:name="_bookmark23"/>
      <w:bookmarkStart w:id="55" w:name="_Toc181011882"/>
      <w:bookmarkEnd w:id="54"/>
      <w:r w:rsidRPr="005669CE">
        <w:rPr>
          <w:lang w:val="fr-FR"/>
        </w:rPr>
        <w:lastRenderedPageBreak/>
        <w:t>Feuille de décompte des urines (papier)</w:t>
      </w:r>
      <w:bookmarkEnd w:id="55"/>
      <w:r w:rsidRPr="005669CE">
        <w:rPr>
          <w:lang w:val="fr-FR"/>
        </w:rPr>
        <w:t xml:space="preserve">  </w:t>
      </w:r>
    </w:p>
    <w:p w14:paraId="2CCEC6D8" w14:textId="068E1F27" w:rsidR="000E2E95" w:rsidRPr="005669CE" w:rsidRDefault="00DB0A1C" w:rsidP="00D936C5">
      <w:pPr>
        <w:tabs>
          <w:tab w:val="left" w:pos="4514"/>
          <w:tab w:val="left" w:pos="5160"/>
          <w:tab w:val="left" w:pos="8331"/>
        </w:tabs>
        <w:spacing w:before="120"/>
        <w:jc w:val="both"/>
        <w:rPr>
          <w:b/>
        </w:rPr>
      </w:pPr>
      <w:r w:rsidRPr="005669CE">
        <w:rPr>
          <w:b/>
          <w:bCs/>
          <w:lang w:val="fr-FR"/>
        </w:rPr>
        <w:t xml:space="preserve">Nom de l’UEP : </w:t>
      </w:r>
      <w:r w:rsidR="00D936C5" w:rsidRPr="00D936C5">
        <w:rPr>
          <w:b/>
          <w:bCs/>
          <w:u w:val="thick"/>
        </w:rPr>
        <w:tab/>
      </w:r>
      <w:r w:rsidR="00D936C5" w:rsidRPr="00D936C5">
        <w:rPr>
          <w:b/>
          <w:bCs/>
        </w:rPr>
        <w:tab/>
      </w:r>
      <w:proofErr w:type="gramStart"/>
      <w:r w:rsidR="00D936C5" w:rsidRPr="00D936C5">
        <w:rPr>
          <w:b/>
          <w:bCs/>
        </w:rPr>
        <w:t>Date:</w:t>
      </w:r>
      <w:proofErr w:type="gramEnd"/>
      <w:r w:rsidR="00D936C5" w:rsidRPr="00D936C5">
        <w:rPr>
          <w:b/>
          <w:bCs/>
          <w:u w:val="thick"/>
        </w:rPr>
        <w:tab/>
      </w:r>
    </w:p>
    <w:p w14:paraId="13AF08B7" w14:textId="13738FB9" w:rsidR="000E2E95" w:rsidRPr="005669CE" w:rsidRDefault="00DB0A1C" w:rsidP="00D936C5">
      <w:pPr>
        <w:tabs>
          <w:tab w:val="left" w:pos="4379"/>
          <w:tab w:val="left" w:pos="8952"/>
        </w:tabs>
        <w:spacing w:before="180"/>
        <w:jc w:val="both"/>
        <w:rPr>
          <w:b/>
          <w:u w:val="thick"/>
        </w:rPr>
      </w:pPr>
      <w:r w:rsidRPr="005669CE">
        <w:rPr>
          <w:b/>
          <w:bCs/>
          <w:lang w:val="fr-FR"/>
        </w:rPr>
        <w:t xml:space="preserve">Code du district : </w:t>
      </w:r>
      <w:r w:rsidR="00D936C5" w:rsidRPr="00D936C5">
        <w:rPr>
          <w:b/>
          <w:bCs/>
          <w:u w:val="thick"/>
        </w:rPr>
        <w:tab/>
      </w:r>
      <w:r w:rsidRPr="005669CE">
        <w:rPr>
          <w:b/>
          <w:bCs/>
          <w:spacing w:val="80"/>
          <w:lang w:val="fr-FR"/>
        </w:rPr>
        <w:t xml:space="preserve"> </w:t>
      </w:r>
      <w:r w:rsidRPr="00D936C5">
        <w:rPr>
          <w:b/>
          <w:bCs/>
          <w:lang w:val="fr-FR"/>
        </w:rPr>
        <w:t>Code de l’UEP :</w:t>
      </w:r>
      <w:r w:rsidRPr="005669CE">
        <w:rPr>
          <w:b/>
          <w:bCs/>
          <w:spacing w:val="80"/>
          <w:lang w:val="fr-FR"/>
        </w:rPr>
        <w:t xml:space="preserve"> </w:t>
      </w:r>
      <w:r w:rsidR="00D936C5" w:rsidRPr="00D936C5">
        <w:rPr>
          <w:b/>
          <w:bCs/>
          <w:spacing w:val="80"/>
          <w:u w:val="thick"/>
        </w:rPr>
        <w:tab/>
      </w:r>
    </w:p>
    <w:p w14:paraId="3CEE0975" w14:textId="77777777" w:rsidR="00CA3898" w:rsidRPr="005669CE" w:rsidRDefault="00CA3898" w:rsidP="00CA3898">
      <w:pPr>
        <w:spacing w:line="360" w:lineRule="auto"/>
        <w:rPr>
          <w:rFonts w:asciiTheme="minorHAnsi" w:hAnsiTheme="minorHAnsi" w:cstheme="minorHAnsi"/>
        </w:rPr>
      </w:pPr>
    </w:p>
    <w:p w14:paraId="12ED9118" w14:textId="77777777" w:rsidR="00CA3898" w:rsidRPr="005669CE" w:rsidRDefault="00DB0A1C" w:rsidP="00CA3898">
      <w:pPr>
        <w:spacing w:line="360" w:lineRule="auto"/>
        <w:rPr>
          <w:rFonts w:asciiTheme="minorHAnsi" w:hAnsiTheme="minorHAnsi" w:cstheme="minorHAnsi"/>
        </w:rPr>
      </w:pPr>
      <w:proofErr w:type="gramStart"/>
      <w:r w:rsidRPr="005669CE">
        <w:rPr>
          <w:rFonts w:asciiTheme="minorHAnsi" w:hAnsiTheme="minorHAnsi" w:cstheme="minorHAnsi"/>
          <w:lang w:val="fr-FR"/>
        </w:rPr>
        <w:t>page</w:t>
      </w:r>
      <w:proofErr w:type="gramEnd"/>
      <w:r w:rsidRPr="005669CE">
        <w:rPr>
          <w:rFonts w:asciiTheme="minorHAnsi" w:hAnsiTheme="minorHAnsi" w:cstheme="minorHAnsi"/>
          <w:lang w:val="fr-FR"/>
        </w:rPr>
        <w:t xml:space="preserve"> ___ sur ___</w:t>
      </w:r>
    </w:p>
    <w:p w14:paraId="3EE3F30D" w14:textId="77777777" w:rsidR="000E2E95" w:rsidRPr="005669CE" w:rsidRDefault="00DB0A1C" w:rsidP="00CA3898">
      <w:pPr>
        <w:spacing w:line="360" w:lineRule="auto"/>
        <w:rPr>
          <w:rFonts w:asciiTheme="minorHAnsi" w:hAnsiTheme="minorHAnsi" w:cstheme="minorHAnsi"/>
          <w:b/>
        </w:rPr>
      </w:pPr>
      <w:r w:rsidRPr="005669CE">
        <w:rPr>
          <w:rFonts w:asciiTheme="minorHAnsi" w:hAnsiTheme="minorHAnsi" w:cstheme="minorHAnsi"/>
          <w:lang w:val="fr-FR"/>
        </w:rPr>
        <w:t xml:space="preserve">Diapositives (entourer) :  </w:t>
      </w:r>
      <w:r w:rsidRPr="005669CE">
        <w:rPr>
          <w:rFonts w:asciiTheme="minorHAnsi" w:hAnsiTheme="minorHAnsi" w:cstheme="minorHAnsi"/>
          <w:b/>
          <w:bCs/>
          <w:lang w:val="fr-FR"/>
        </w:rPr>
        <w:t xml:space="preserve">A / B </w:t>
      </w:r>
      <w:r w:rsidRPr="005669CE">
        <w:rPr>
          <w:rFonts w:asciiTheme="minorHAnsi" w:hAnsiTheme="minorHAnsi" w:cstheme="minorHAnsi"/>
          <w:lang w:val="fr-FR"/>
        </w:rPr>
        <w:t>Lecteur (nom) __________________ Date / /</w:t>
      </w:r>
      <w:r w:rsidRPr="005669CE">
        <w:rPr>
          <w:rFonts w:asciiTheme="minorHAnsi" w:hAnsiTheme="minorHAnsi" w:cstheme="minorHAnsi"/>
          <w:b/>
          <w:bCs/>
          <w:lang w:val="fr-FR"/>
        </w:rPr>
        <w:t xml:space="preserve"> 202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74"/>
        <w:gridCol w:w="2642"/>
        <w:gridCol w:w="1705"/>
        <w:gridCol w:w="1125"/>
        <w:gridCol w:w="977"/>
        <w:gridCol w:w="3353"/>
      </w:tblGrid>
      <w:tr w:rsidR="000C10E3" w14:paraId="66F9EBF0" w14:textId="77777777" w:rsidTr="00F32013">
        <w:trPr>
          <w:trHeight w:val="2417"/>
        </w:trPr>
        <w:tc>
          <w:tcPr>
            <w:tcW w:w="136" w:type="pct"/>
          </w:tcPr>
          <w:p w14:paraId="49F00F71" w14:textId="77777777" w:rsidR="003D63E4" w:rsidRPr="005669CE" w:rsidRDefault="00DB0A1C" w:rsidP="00CE74C2">
            <w:pPr>
              <w:pStyle w:val="TableParagraph"/>
              <w:spacing w:line="268" w:lineRule="exact"/>
              <w:ind w:left="9" w:right="113"/>
              <w:jc w:val="both"/>
              <w:rPr>
                <w:b/>
              </w:rPr>
            </w:pPr>
            <w:r w:rsidRPr="005669CE">
              <w:rPr>
                <w:b/>
                <w:bCs/>
                <w:spacing w:val="-10"/>
                <w:lang w:val="fr-FR"/>
              </w:rPr>
              <w:t>#</w:t>
            </w:r>
          </w:p>
        </w:tc>
        <w:tc>
          <w:tcPr>
            <w:tcW w:w="1311" w:type="pct"/>
          </w:tcPr>
          <w:p w14:paraId="198D341A" w14:textId="77777777" w:rsidR="003D63E4" w:rsidRPr="005669CE" w:rsidRDefault="00DB0A1C" w:rsidP="00AD1DF9">
            <w:pPr>
              <w:pStyle w:val="TableParagraph"/>
              <w:spacing w:line="268" w:lineRule="exact"/>
              <w:ind w:left="107"/>
              <w:rPr>
                <w:b/>
              </w:rPr>
            </w:pPr>
            <w:r w:rsidRPr="005669CE">
              <w:rPr>
                <w:b/>
                <w:bCs/>
                <w:lang w:val="fr-FR"/>
              </w:rPr>
              <w:t>ID UNIQUE</w:t>
            </w:r>
          </w:p>
          <w:p w14:paraId="591478F3" w14:textId="77777777" w:rsidR="007D6080" w:rsidRPr="005669CE" w:rsidRDefault="00DB0A1C" w:rsidP="00AD1DF9">
            <w:pPr>
              <w:pStyle w:val="TableParagraph"/>
              <w:spacing w:line="268" w:lineRule="exact"/>
              <w:ind w:left="107"/>
              <w:rPr>
                <w:bCs/>
              </w:rPr>
            </w:pPr>
            <w:r w:rsidRPr="005669CE">
              <w:rPr>
                <w:bCs/>
                <w:lang w:val="fr-FR"/>
              </w:rPr>
              <w:t xml:space="preserve">Code </w:t>
            </w:r>
            <w:proofErr w:type="spellStart"/>
            <w:r w:rsidRPr="005669CE">
              <w:rPr>
                <w:bCs/>
                <w:lang w:val="fr-FR"/>
              </w:rPr>
              <w:t>district_Code</w:t>
            </w:r>
            <w:proofErr w:type="spellEnd"/>
            <w:r w:rsidRPr="005669CE">
              <w:rPr>
                <w:bCs/>
                <w:lang w:val="fr-FR"/>
              </w:rPr>
              <w:t xml:space="preserve"> </w:t>
            </w:r>
            <w:proofErr w:type="spellStart"/>
            <w:r w:rsidRPr="005669CE">
              <w:rPr>
                <w:bCs/>
                <w:lang w:val="fr-FR"/>
              </w:rPr>
              <w:t>UEP_Nombre</w:t>
            </w:r>
            <w:proofErr w:type="spellEnd"/>
            <w:r w:rsidRPr="005669CE">
              <w:rPr>
                <w:bCs/>
                <w:lang w:val="fr-FR"/>
              </w:rPr>
              <w:t xml:space="preserve"> enfants</w:t>
            </w:r>
          </w:p>
        </w:tc>
        <w:tc>
          <w:tcPr>
            <w:tcW w:w="846" w:type="pct"/>
          </w:tcPr>
          <w:p w14:paraId="0170E244" w14:textId="77777777" w:rsidR="003D63E4" w:rsidRPr="005669CE" w:rsidRDefault="00DB0A1C" w:rsidP="00AD1DF9">
            <w:pPr>
              <w:pStyle w:val="TableParagraph"/>
              <w:spacing w:line="268" w:lineRule="exact"/>
              <w:ind w:left="107"/>
              <w:rPr>
                <w:b/>
              </w:rPr>
            </w:pPr>
            <w:r w:rsidRPr="005669CE">
              <w:rPr>
                <w:b/>
                <w:bCs/>
                <w:lang w:val="fr-FR"/>
              </w:rPr>
              <w:t xml:space="preserve">Résultat de la bandelette réactive </w:t>
            </w:r>
          </w:p>
          <w:p w14:paraId="62A4F1F7" w14:textId="77777777" w:rsidR="003D63E4" w:rsidRPr="005669CE" w:rsidRDefault="00DB0A1C" w:rsidP="00AD1DF9">
            <w:pPr>
              <w:pStyle w:val="TableParagraph"/>
              <w:ind w:left="107"/>
            </w:pPr>
            <w:r w:rsidRPr="005669CE">
              <w:rPr>
                <w:lang w:val="fr-FR"/>
              </w:rPr>
              <w:t>0 = Aucun</w:t>
            </w:r>
          </w:p>
          <w:p w14:paraId="6CE37176" w14:textId="77777777" w:rsidR="003D63E4" w:rsidRPr="005669CE" w:rsidRDefault="00DB0A1C" w:rsidP="00AD1DF9">
            <w:pPr>
              <w:pStyle w:val="TableParagraph"/>
              <w:ind w:left="107" w:right="577"/>
            </w:pPr>
            <w:r w:rsidRPr="005669CE">
              <w:rPr>
                <w:lang w:val="fr-FR"/>
              </w:rPr>
              <w:t>1= Trace, non hémolysé</w:t>
            </w:r>
          </w:p>
          <w:p w14:paraId="6C84B446" w14:textId="77777777" w:rsidR="003D63E4" w:rsidRPr="005669CE" w:rsidRDefault="00DB0A1C" w:rsidP="00AD1DF9">
            <w:pPr>
              <w:pStyle w:val="TableParagraph"/>
              <w:spacing w:before="1"/>
              <w:ind w:left="107" w:right="3"/>
            </w:pPr>
            <w:r w:rsidRPr="005669CE">
              <w:rPr>
                <w:lang w:val="fr-FR"/>
              </w:rPr>
              <w:t>2= Trace, hémolysé</w:t>
            </w:r>
          </w:p>
          <w:p w14:paraId="3A04DDBD" w14:textId="77777777" w:rsidR="003D63E4" w:rsidRPr="005669CE" w:rsidRDefault="00DB0A1C" w:rsidP="00AD1DF9">
            <w:pPr>
              <w:pStyle w:val="TableParagraph"/>
              <w:spacing w:line="267" w:lineRule="exact"/>
              <w:ind w:left="107"/>
            </w:pPr>
            <w:r w:rsidRPr="005669CE">
              <w:rPr>
                <w:lang w:val="fr-FR"/>
              </w:rPr>
              <w:t>3 = +</w:t>
            </w:r>
          </w:p>
          <w:p w14:paraId="67BB5C52" w14:textId="77777777" w:rsidR="003D63E4" w:rsidRPr="005669CE" w:rsidRDefault="00DB0A1C" w:rsidP="00AD1DF9">
            <w:pPr>
              <w:pStyle w:val="TableParagraph"/>
              <w:spacing w:before="1"/>
              <w:ind w:left="107"/>
            </w:pPr>
            <w:r w:rsidRPr="005669CE">
              <w:rPr>
                <w:lang w:val="fr-FR"/>
              </w:rPr>
              <w:t>4 = ++</w:t>
            </w:r>
          </w:p>
          <w:p w14:paraId="19D1ACA1" w14:textId="77777777" w:rsidR="003D63E4" w:rsidRPr="005669CE" w:rsidRDefault="00DB0A1C" w:rsidP="00AD1DF9">
            <w:pPr>
              <w:pStyle w:val="TableParagraph"/>
              <w:spacing w:line="249" w:lineRule="exact"/>
              <w:ind w:left="107"/>
            </w:pPr>
            <w:r w:rsidRPr="005669CE">
              <w:rPr>
                <w:lang w:val="fr-FR"/>
              </w:rPr>
              <w:t>5 = +++</w:t>
            </w:r>
          </w:p>
        </w:tc>
        <w:tc>
          <w:tcPr>
            <w:tcW w:w="558" w:type="pct"/>
          </w:tcPr>
          <w:p w14:paraId="1BD8531D" w14:textId="77777777" w:rsidR="003D63E4" w:rsidRPr="005669CE" w:rsidRDefault="00DB0A1C" w:rsidP="00CE74C2">
            <w:pPr>
              <w:pStyle w:val="TableParagraph"/>
              <w:ind w:left="106" w:right="383"/>
              <w:jc w:val="both"/>
              <w:rPr>
                <w:b/>
              </w:rPr>
            </w:pPr>
            <w:proofErr w:type="gramStart"/>
            <w:r w:rsidRPr="005669CE">
              <w:rPr>
                <w:b/>
                <w:bCs/>
                <w:spacing w:val="-4"/>
                <w:lang w:val="fr-FR"/>
              </w:rPr>
              <w:t>ml</w:t>
            </w:r>
            <w:proofErr w:type="gramEnd"/>
            <w:r w:rsidRPr="005669CE">
              <w:rPr>
                <w:b/>
                <w:bCs/>
                <w:spacing w:val="-4"/>
                <w:lang w:val="fr-FR"/>
              </w:rPr>
              <w:t xml:space="preserve"> d’urine</w:t>
            </w:r>
          </w:p>
        </w:tc>
        <w:tc>
          <w:tcPr>
            <w:tcW w:w="485" w:type="pct"/>
          </w:tcPr>
          <w:p w14:paraId="54F942F8" w14:textId="77777777" w:rsidR="003D63E4" w:rsidRPr="005669CE" w:rsidRDefault="00DB0A1C" w:rsidP="00CE74C2">
            <w:pPr>
              <w:pStyle w:val="TableParagraph"/>
              <w:ind w:left="105" w:right="124"/>
              <w:jc w:val="both"/>
              <w:rPr>
                <w:b/>
              </w:rPr>
            </w:pPr>
            <w:r w:rsidRPr="005669CE">
              <w:rPr>
                <w:b/>
                <w:bCs/>
                <w:spacing w:val="-2"/>
                <w:lang w:val="fr-FR"/>
              </w:rPr>
              <w:t>Nombre d’œufs</w:t>
            </w:r>
          </w:p>
        </w:tc>
        <w:tc>
          <w:tcPr>
            <w:tcW w:w="1664" w:type="pct"/>
          </w:tcPr>
          <w:p w14:paraId="798B1036" w14:textId="77777777" w:rsidR="003D63E4" w:rsidRPr="005669CE" w:rsidRDefault="00DB0A1C" w:rsidP="00CE74C2">
            <w:pPr>
              <w:pStyle w:val="TableParagraph"/>
              <w:spacing w:line="268" w:lineRule="exact"/>
              <w:ind w:left="104"/>
              <w:jc w:val="both"/>
              <w:rPr>
                <w:b/>
              </w:rPr>
            </w:pPr>
            <w:r w:rsidRPr="005669CE">
              <w:rPr>
                <w:b/>
                <w:bCs/>
                <w:spacing w:val="-2"/>
                <w:lang w:val="fr-FR"/>
              </w:rPr>
              <w:t>Remarques</w:t>
            </w:r>
          </w:p>
        </w:tc>
      </w:tr>
      <w:tr w:rsidR="000C10E3" w14:paraId="0FCDF6EB" w14:textId="77777777" w:rsidTr="00F32013">
        <w:trPr>
          <w:trHeight w:val="537"/>
        </w:trPr>
        <w:tc>
          <w:tcPr>
            <w:tcW w:w="136" w:type="pct"/>
            <w:vAlign w:val="center"/>
          </w:tcPr>
          <w:p w14:paraId="1CDD4E00" w14:textId="77777777" w:rsidR="003D63E4" w:rsidRPr="005669CE" w:rsidRDefault="00DB0A1C" w:rsidP="00784BFC">
            <w:pPr>
              <w:pStyle w:val="TableParagraph"/>
              <w:spacing w:line="268" w:lineRule="exact"/>
              <w:ind w:left="9" w:right="111"/>
            </w:pPr>
            <w:r w:rsidRPr="005669CE">
              <w:rPr>
                <w:lang w:val="fr-FR"/>
              </w:rPr>
              <w:t>1</w:t>
            </w:r>
          </w:p>
        </w:tc>
        <w:tc>
          <w:tcPr>
            <w:tcW w:w="1311" w:type="pct"/>
            <w:vAlign w:val="center"/>
          </w:tcPr>
          <w:p w14:paraId="71061A7B" w14:textId="77777777" w:rsidR="003D63E4"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1232E1A3" w14:textId="77777777" w:rsidR="003D63E4" w:rsidRPr="005669CE" w:rsidRDefault="003D63E4" w:rsidP="00CE74C2">
            <w:pPr>
              <w:pStyle w:val="TableParagraph"/>
              <w:jc w:val="both"/>
              <w:rPr>
                <w:rFonts w:ascii="Times New Roman"/>
              </w:rPr>
            </w:pPr>
          </w:p>
        </w:tc>
        <w:tc>
          <w:tcPr>
            <w:tcW w:w="558" w:type="pct"/>
          </w:tcPr>
          <w:p w14:paraId="4506F4EB" w14:textId="77777777" w:rsidR="003D63E4" w:rsidRPr="005669CE" w:rsidRDefault="003D63E4" w:rsidP="00CE74C2">
            <w:pPr>
              <w:pStyle w:val="TableParagraph"/>
              <w:jc w:val="both"/>
              <w:rPr>
                <w:rFonts w:ascii="Times New Roman"/>
              </w:rPr>
            </w:pPr>
          </w:p>
        </w:tc>
        <w:tc>
          <w:tcPr>
            <w:tcW w:w="485" w:type="pct"/>
          </w:tcPr>
          <w:p w14:paraId="36EEB8E2" w14:textId="77777777" w:rsidR="003D63E4" w:rsidRPr="005669CE" w:rsidRDefault="003D63E4" w:rsidP="00CE74C2">
            <w:pPr>
              <w:pStyle w:val="TableParagraph"/>
              <w:jc w:val="both"/>
              <w:rPr>
                <w:rFonts w:ascii="Times New Roman"/>
              </w:rPr>
            </w:pPr>
          </w:p>
        </w:tc>
        <w:tc>
          <w:tcPr>
            <w:tcW w:w="1664" w:type="pct"/>
          </w:tcPr>
          <w:p w14:paraId="7F3783F3" w14:textId="77777777" w:rsidR="003D63E4" w:rsidRPr="005669CE" w:rsidRDefault="003D63E4" w:rsidP="00CE74C2">
            <w:pPr>
              <w:pStyle w:val="TableParagraph"/>
              <w:jc w:val="both"/>
              <w:rPr>
                <w:rFonts w:ascii="Times New Roman"/>
              </w:rPr>
            </w:pPr>
          </w:p>
        </w:tc>
      </w:tr>
      <w:tr w:rsidR="000C10E3" w14:paraId="54943262" w14:textId="77777777" w:rsidTr="00F32013">
        <w:trPr>
          <w:trHeight w:val="537"/>
        </w:trPr>
        <w:tc>
          <w:tcPr>
            <w:tcW w:w="136" w:type="pct"/>
            <w:vAlign w:val="center"/>
          </w:tcPr>
          <w:p w14:paraId="6B864FBD" w14:textId="77777777" w:rsidR="008B3178" w:rsidRPr="005669CE" w:rsidRDefault="00DB0A1C" w:rsidP="00784BFC">
            <w:pPr>
              <w:pStyle w:val="TableParagraph"/>
              <w:spacing w:line="268" w:lineRule="exact"/>
              <w:ind w:left="9" w:right="111"/>
            </w:pPr>
            <w:r w:rsidRPr="005669CE">
              <w:rPr>
                <w:lang w:val="fr-FR"/>
              </w:rPr>
              <w:t>2</w:t>
            </w:r>
          </w:p>
        </w:tc>
        <w:tc>
          <w:tcPr>
            <w:tcW w:w="1311" w:type="pct"/>
            <w:vAlign w:val="center"/>
          </w:tcPr>
          <w:p w14:paraId="1AADF29C"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1E410259" w14:textId="77777777" w:rsidR="008B3178" w:rsidRPr="005669CE" w:rsidRDefault="008B3178" w:rsidP="008B3178">
            <w:pPr>
              <w:pStyle w:val="TableParagraph"/>
              <w:jc w:val="both"/>
              <w:rPr>
                <w:rFonts w:ascii="Times New Roman"/>
              </w:rPr>
            </w:pPr>
          </w:p>
        </w:tc>
        <w:tc>
          <w:tcPr>
            <w:tcW w:w="558" w:type="pct"/>
          </w:tcPr>
          <w:p w14:paraId="3F03C23C" w14:textId="77777777" w:rsidR="008B3178" w:rsidRPr="005669CE" w:rsidRDefault="008B3178" w:rsidP="008B3178">
            <w:pPr>
              <w:pStyle w:val="TableParagraph"/>
              <w:jc w:val="both"/>
              <w:rPr>
                <w:rFonts w:ascii="Times New Roman"/>
              </w:rPr>
            </w:pPr>
          </w:p>
        </w:tc>
        <w:tc>
          <w:tcPr>
            <w:tcW w:w="485" w:type="pct"/>
          </w:tcPr>
          <w:p w14:paraId="0E3F5097" w14:textId="77777777" w:rsidR="008B3178" w:rsidRPr="005669CE" w:rsidRDefault="008B3178" w:rsidP="008B3178">
            <w:pPr>
              <w:pStyle w:val="TableParagraph"/>
              <w:jc w:val="both"/>
              <w:rPr>
                <w:rFonts w:ascii="Times New Roman"/>
              </w:rPr>
            </w:pPr>
          </w:p>
        </w:tc>
        <w:tc>
          <w:tcPr>
            <w:tcW w:w="1664" w:type="pct"/>
          </w:tcPr>
          <w:p w14:paraId="2E036DB3" w14:textId="77777777" w:rsidR="008B3178" w:rsidRPr="005669CE" w:rsidRDefault="008B3178" w:rsidP="008B3178">
            <w:pPr>
              <w:pStyle w:val="TableParagraph"/>
              <w:jc w:val="both"/>
              <w:rPr>
                <w:rFonts w:ascii="Times New Roman"/>
              </w:rPr>
            </w:pPr>
          </w:p>
        </w:tc>
      </w:tr>
      <w:tr w:rsidR="000C10E3" w14:paraId="3B043480" w14:textId="77777777" w:rsidTr="00F32013">
        <w:trPr>
          <w:trHeight w:val="537"/>
        </w:trPr>
        <w:tc>
          <w:tcPr>
            <w:tcW w:w="136" w:type="pct"/>
            <w:vAlign w:val="center"/>
          </w:tcPr>
          <w:p w14:paraId="545DC8F2" w14:textId="77777777" w:rsidR="008B3178" w:rsidRPr="005669CE" w:rsidRDefault="00DB0A1C" w:rsidP="00784BFC">
            <w:pPr>
              <w:pStyle w:val="TableParagraph"/>
              <w:spacing w:line="268" w:lineRule="exact"/>
              <w:ind w:left="9" w:right="111"/>
            </w:pPr>
            <w:r w:rsidRPr="005669CE">
              <w:rPr>
                <w:lang w:val="fr-FR"/>
              </w:rPr>
              <w:t>3</w:t>
            </w:r>
          </w:p>
        </w:tc>
        <w:tc>
          <w:tcPr>
            <w:tcW w:w="1311" w:type="pct"/>
            <w:vAlign w:val="center"/>
          </w:tcPr>
          <w:p w14:paraId="2CF2C29C"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78209437" w14:textId="77777777" w:rsidR="008B3178" w:rsidRPr="005669CE" w:rsidRDefault="008B3178" w:rsidP="008B3178">
            <w:pPr>
              <w:pStyle w:val="TableParagraph"/>
              <w:jc w:val="both"/>
              <w:rPr>
                <w:rFonts w:ascii="Times New Roman"/>
              </w:rPr>
            </w:pPr>
          </w:p>
        </w:tc>
        <w:tc>
          <w:tcPr>
            <w:tcW w:w="558" w:type="pct"/>
          </w:tcPr>
          <w:p w14:paraId="14E2EF01" w14:textId="77777777" w:rsidR="008B3178" w:rsidRPr="005669CE" w:rsidRDefault="008B3178" w:rsidP="008B3178">
            <w:pPr>
              <w:pStyle w:val="TableParagraph"/>
              <w:jc w:val="both"/>
              <w:rPr>
                <w:rFonts w:ascii="Times New Roman"/>
              </w:rPr>
            </w:pPr>
          </w:p>
        </w:tc>
        <w:tc>
          <w:tcPr>
            <w:tcW w:w="485" w:type="pct"/>
          </w:tcPr>
          <w:p w14:paraId="60F7B7ED" w14:textId="77777777" w:rsidR="008B3178" w:rsidRPr="005669CE" w:rsidRDefault="008B3178" w:rsidP="008B3178">
            <w:pPr>
              <w:pStyle w:val="TableParagraph"/>
              <w:jc w:val="both"/>
              <w:rPr>
                <w:rFonts w:ascii="Times New Roman"/>
              </w:rPr>
            </w:pPr>
          </w:p>
        </w:tc>
        <w:tc>
          <w:tcPr>
            <w:tcW w:w="1664" w:type="pct"/>
          </w:tcPr>
          <w:p w14:paraId="1A57F2A4" w14:textId="77777777" w:rsidR="008B3178" w:rsidRPr="005669CE" w:rsidRDefault="008B3178" w:rsidP="008B3178">
            <w:pPr>
              <w:pStyle w:val="TableParagraph"/>
              <w:jc w:val="both"/>
              <w:rPr>
                <w:rFonts w:ascii="Times New Roman"/>
              </w:rPr>
            </w:pPr>
          </w:p>
        </w:tc>
      </w:tr>
      <w:tr w:rsidR="000C10E3" w14:paraId="331BA277" w14:textId="77777777" w:rsidTr="00F32013">
        <w:trPr>
          <w:trHeight w:val="537"/>
        </w:trPr>
        <w:tc>
          <w:tcPr>
            <w:tcW w:w="136" w:type="pct"/>
            <w:vAlign w:val="center"/>
          </w:tcPr>
          <w:p w14:paraId="2B5EF1CF" w14:textId="77777777" w:rsidR="008B3178" w:rsidRPr="005669CE" w:rsidRDefault="00DB0A1C" w:rsidP="00784BFC">
            <w:pPr>
              <w:pStyle w:val="TableParagraph"/>
              <w:spacing w:line="268" w:lineRule="exact"/>
              <w:ind w:left="9" w:right="111"/>
            </w:pPr>
            <w:r w:rsidRPr="005669CE">
              <w:rPr>
                <w:lang w:val="fr-FR"/>
              </w:rPr>
              <w:t>4</w:t>
            </w:r>
          </w:p>
        </w:tc>
        <w:tc>
          <w:tcPr>
            <w:tcW w:w="1311" w:type="pct"/>
            <w:vAlign w:val="center"/>
          </w:tcPr>
          <w:p w14:paraId="746F6DD5"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71D58A33" w14:textId="77777777" w:rsidR="008B3178" w:rsidRPr="005669CE" w:rsidRDefault="008B3178" w:rsidP="008B3178">
            <w:pPr>
              <w:pStyle w:val="TableParagraph"/>
              <w:jc w:val="both"/>
              <w:rPr>
                <w:rFonts w:ascii="Times New Roman"/>
              </w:rPr>
            </w:pPr>
          </w:p>
        </w:tc>
        <w:tc>
          <w:tcPr>
            <w:tcW w:w="558" w:type="pct"/>
          </w:tcPr>
          <w:p w14:paraId="2823B041" w14:textId="77777777" w:rsidR="008B3178" w:rsidRPr="005669CE" w:rsidRDefault="008B3178" w:rsidP="008B3178">
            <w:pPr>
              <w:pStyle w:val="TableParagraph"/>
              <w:jc w:val="both"/>
              <w:rPr>
                <w:rFonts w:ascii="Times New Roman"/>
              </w:rPr>
            </w:pPr>
          </w:p>
        </w:tc>
        <w:tc>
          <w:tcPr>
            <w:tcW w:w="485" w:type="pct"/>
          </w:tcPr>
          <w:p w14:paraId="7C2D6C7A" w14:textId="77777777" w:rsidR="008B3178" w:rsidRPr="005669CE" w:rsidRDefault="008B3178" w:rsidP="008B3178">
            <w:pPr>
              <w:pStyle w:val="TableParagraph"/>
              <w:jc w:val="both"/>
              <w:rPr>
                <w:rFonts w:ascii="Times New Roman"/>
              </w:rPr>
            </w:pPr>
          </w:p>
        </w:tc>
        <w:tc>
          <w:tcPr>
            <w:tcW w:w="1664" w:type="pct"/>
          </w:tcPr>
          <w:p w14:paraId="75A76D5E" w14:textId="77777777" w:rsidR="008B3178" w:rsidRPr="005669CE" w:rsidRDefault="008B3178" w:rsidP="008B3178">
            <w:pPr>
              <w:pStyle w:val="TableParagraph"/>
              <w:jc w:val="both"/>
              <w:rPr>
                <w:rFonts w:ascii="Times New Roman"/>
              </w:rPr>
            </w:pPr>
          </w:p>
        </w:tc>
      </w:tr>
      <w:tr w:rsidR="000C10E3" w14:paraId="39DEE752" w14:textId="77777777" w:rsidTr="00F32013">
        <w:trPr>
          <w:trHeight w:val="537"/>
        </w:trPr>
        <w:tc>
          <w:tcPr>
            <w:tcW w:w="136" w:type="pct"/>
            <w:vAlign w:val="center"/>
          </w:tcPr>
          <w:p w14:paraId="463477B0" w14:textId="77777777" w:rsidR="008B3178" w:rsidRPr="005669CE" w:rsidRDefault="00DB0A1C" w:rsidP="00784BFC">
            <w:pPr>
              <w:pStyle w:val="TableParagraph"/>
              <w:spacing w:line="268" w:lineRule="exact"/>
              <w:ind w:left="9" w:right="111"/>
            </w:pPr>
            <w:r w:rsidRPr="005669CE">
              <w:rPr>
                <w:lang w:val="fr-FR"/>
              </w:rPr>
              <w:t>5</w:t>
            </w:r>
          </w:p>
        </w:tc>
        <w:tc>
          <w:tcPr>
            <w:tcW w:w="1311" w:type="pct"/>
            <w:vAlign w:val="center"/>
          </w:tcPr>
          <w:p w14:paraId="65E06736"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6CE47F5F" w14:textId="77777777" w:rsidR="008B3178" w:rsidRPr="005669CE" w:rsidRDefault="008B3178" w:rsidP="008B3178">
            <w:pPr>
              <w:pStyle w:val="TableParagraph"/>
              <w:jc w:val="both"/>
              <w:rPr>
                <w:rFonts w:ascii="Times New Roman"/>
              </w:rPr>
            </w:pPr>
          </w:p>
        </w:tc>
        <w:tc>
          <w:tcPr>
            <w:tcW w:w="558" w:type="pct"/>
          </w:tcPr>
          <w:p w14:paraId="14F749EA" w14:textId="77777777" w:rsidR="008B3178" w:rsidRPr="005669CE" w:rsidRDefault="008B3178" w:rsidP="008B3178">
            <w:pPr>
              <w:pStyle w:val="TableParagraph"/>
              <w:jc w:val="both"/>
              <w:rPr>
                <w:rFonts w:ascii="Times New Roman"/>
              </w:rPr>
            </w:pPr>
          </w:p>
        </w:tc>
        <w:tc>
          <w:tcPr>
            <w:tcW w:w="485" w:type="pct"/>
          </w:tcPr>
          <w:p w14:paraId="6DDB46C9" w14:textId="77777777" w:rsidR="008B3178" w:rsidRPr="005669CE" w:rsidRDefault="008B3178" w:rsidP="008B3178">
            <w:pPr>
              <w:pStyle w:val="TableParagraph"/>
              <w:jc w:val="both"/>
              <w:rPr>
                <w:rFonts w:ascii="Times New Roman"/>
              </w:rPr>
            </w:pPr>
          </w:p>
        </w:tc>
        <w:tc>
          <w:tcPr>
            <w:tcW w:w="1664" w:type="pct"/>
          </w:tcPr>
          <w:p w14:paraId="10377061" w14:textId="77777777" w:rsidR="008B3178" w:rsidRPr="005669CE" w:rsidRDefault="008B3178" w:rsidP="008B3178">
            <w:pPr>
              <w:pStyle w:val="TableParagraph"/>
              <w:jc w:val="both"/>
              <w:rPr>
                <w:rFonts w:ascii="Times New Roman"/>
              </w:rPr>
            </w:pPr>
          </w:p>
        </w:tc>
      </w:tr>
      <w:tr w:rsidR="000C10E3" w14:paraId="725D6EF4" w14:textId="77777777" w:rsidTr="00F32013">
        <w:trPr>
          <w:trHeight w:val="537"/>
        </w:trPr>
        <w:tc>
          <w:tcPr>
            <w:tcW w:w="136" w:type="pct"/>
            <w:vAlign w:val="center"/>
          </w:tcPr>
          <w:p w14:paraId="375D0377" w14:textId="77777777" w:rsidR="008B3178" w:rsidRPr="005669CE" w:rsidRDefault="00DB0A1C" w:rsidP="00784BFC">
            <w:pPr>
              <w:pStyle w:val="TableParagraph"/>
              <w:spacing w:line="268" w:lineRule="exact"/>
              <w:ind w:left="9" w:right="111"/>
            </w:pPr>
            <w:r w:rsidRPr="005669CE">
              <w:rPr>
                <w:lang w:val="fr-FR"/>
              </w:rPr>
              <w:t>6</w:t>
            </w:r>
          </w:p>
        </w:tc>
        <w:tc>
          <w:tcPr>
            <w:tcW w:w="1311" w:type="pct"/>
            <w:vAlign w:val="center"/>
          </w:tcPr>
          <w:p w14:paraId="065ABB6F"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61D54493" w14:textId="77777777" w:rsidR="008B3178" w:rsidRPr="005669CE" w:rsidRDefault="008B3178" w:rsidP="008B3178">
            <w:pPr>
              <w:pStyle w:val="TableParagraph"/>
              <w:jc w:val="both"/>
              <w:rPr>
                <w:rFonts w:ascii="Times New Roman"/>
              </w:rPr>
            </w:pPr>
          </w:p>
        </w:tc>
        <w:tc>
          <w:tcPr>
            <w:tcW w:w="558" w:type="pct"/>
          </w:tcPr>
          <w:p w14:paraId="4DB49E88" w14:textId="77777777" w:rsidR="008B3178" w:rsidRPr="005669CE" w:rsidRDefault="008B3178" w:rsidP="008B3178">
            <w:pPr>
              <w:pStyle w:val="TableParagraph"/>
              <w:jc w:val="both"/>
              <w:rPr>
                <w:rFonts w:ascii="Times New Roman"/>
              </w:rPr>
            </w:pPr>
          </w:p>
        </w:tc>
        <w:tc>
          <w:tcPr>
            <w:tcW w:w="485" w:type="pct"/>
          </w:tcPr>
          <w:p w14:paraId="2532AD29" w14:textId="77777777" w:rsidR="008B3178" w:rsidRPr="005669CE" w:rsidRDefault="008B3178" w:rsidP="008B3178">
            <w:pPr>
              <w:pStyle w:val="TableParagraph"/>
              <w:jc w:val="both"/>
              <w:rPr>
                <w:rFonts w:ascii="Times New Roman"/>
              </w:rPr>
            </w:pPr>
          </w:p>
        </w:tc>
        <w:tc>
          <w:tcPr>
            <w:tcW w:w="1664" w:type="pct"/>
          </w:tcPr>
          <w:p w14:paraId="2429CAFF" w14:textId="77777777" w:rsidR="008B3178" w:rsidRPr="005669CE" w:rsidRDefault="008B3178" w:rsidP="008B3178">
            <w:pPr>
              <w:pStyle w:val="TableParagraph"/>
              <w:jc w:val="both"/>
              <w:rPr>
                <w:rFonts w:ascii="Times New Roman"/>
              </w:rPr>
            </w:pPr>
          </w:p>
        </w:tc>
      </w:tr>
      <w:tr w:rsidR="000C10E3" w14:paraId="5973BAEF" w14:textId="77777777" w:rsidTr="00F32013">
        <w:trPr>
          <w:trHeight w:val="537"/>
        </w:trPr>
        <w:tc>
          <w:tcPr>
            <w:tcW w:w="136" w:type="pct"/>
            <w:vAlign w:val="center"/>
          </w:tcPr>
          <w:p w14:paraId="05766A13" w14:textId="77777777" w:rsidR="008B3178" w:rsidRPr="005669CE" w:rsidRDefault="00DB0A1C" w:rsidP="00784BFC">
            <w:pPr>
              <w:pStyle w:val="TableParagraph"/>
              <w:spacing w:line="268" w:lineRule="exact"/>
              <w:ind w:left="9" w:right="111"/>
            </w:pPr>
            <w:r w:rsidRPr="005669CE">
              <w:rPr>
                <w:lang w:val="fr-FR"/>
              </w:rPr>
              <w:t>7</w:t>
            </w:r>
          </w:p>
        </w:tc>
        <w:tc>
          <w:tcPr>
            <w:tcW w:w="1311" w:type="pct"/>
            <w:vAlign w:val="center"/>
          </w:tcPr>
          <w:p w14:paraId="2AD00FE1"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0AFDEE54" w14:textId="77777777" w:rsidR="008B3178" w:rsidRPr="005669CE" w:rsidRDefault="008B3178" w:rsidP="008B3178">
            <w:pPr>
              <w:pStyle w:val="TableParagraph"/>
              <w:jc w:val="both"/>
              <w:rPr>
                <w:rFonts w:ascii="Times New Roman"/>
              </w:rPr>
            </w:pPr>
          </w:p>
        </w:tc>
        <w:tc>
          <w:tcPr>
            <w:tcW w:w="558" w:type="pct"/>
          </w:tcPr>
          <w:p w14:paraId="4AACB9D9" w14:textId="77777777" w:rsidR="008B3178" w:rsidRPr="005669CE" w:rsidRDefault="008B3178" w:rsidP="008B3178">
            <w:pPr>
              <w:pStyle w:val="TableParagraph"/>
              <w:jc w:val="both"/>
              <w:rPr>
                <w:rFonts w:ascii="Times New Roman"/>
              </w:rPr>
            </w:pPr>
          </w:p>
        </w:tc>
        <w:tc>
          <w:tcPr>
            <w:tcW w:w="485" w:type="pct"/>
          </w:tcPr>
          <w:p w14:paraId="5F628F8C" w14:textId="77777777" w:rsidR="008B3178" w:rsidRPr="005669CE" w:rsidRDefault="008B3178" w:rsidP="008B3178">
            <w:pPr>
              <w:pStyle w:val="TableParagraph"/>
              <w:jc w:val="both"/>
              <w:rPr>
                <w:rFonts w:ascii="Times New Roman"/>
              </w:rPr>
            </w:pPr>
          </w:p>
        </w:tc>
        <w:tc>
          <w:tcPr>
            <w:tcW w:w="1664" w:type="pct"/>
          </w:tcPr>
          <w:p w14:paraId="6329E644" w14:textId="77777777" w:rsidR="008B3178" w:rsidRPr="005669CE" w:rsidRDefault="008B3178" w:rsidP="008B3178">
            <w:pPr>
              <w:pStyle w:val="TableParagraph"/>
              <w:jc w:val="both"/>
              <w:rPr>
                <w:rFonts w:ascii="Times New Roman"/>
              </w:rPr>
            </w:pPr>
          </w:p>
        </w:tc>
      </w:tr>
      <w:tr w:rsidR="000C10E3" w14:paraId="7A1C8161" w14:textId="77777777" w:rsidTr="00F32013">
        <w:trPr>
          <w:trHeight w:val="537"/>
        </w:trPr>
        <w:tc>
          <w:tcPr>
            <w:tcW w:w="136" w:type="pct"/>
            <w:vAlign w:val="center"/>
          </w:tcPr>
          <w:p w14:paraId="47D742CF" w14:textId="77777777" w:rsidR="008B3178" w:rsidRPr="005669CE" w:rsidRDefault="00DB0A1C" w:rsidP="00784BFC">
            <w:pPr>
              <w:pStyle w:val="TableParagraph"/>
              <w:spacing w:line="268" w:lineRule="exact"/>
              <w:ind w:left="9" w:right="111"/>
            </w:pPr>
            <w:r w:rsidRPr="005669CE">
              <w:rPr>
                <w:lang w:val="fr-FR"/>
              </w:rPr>
              <w:t>8</w:t>
            </w:r>
          </w:p>
        </w:tc>
        <w:tc>
          <w:tcPr>
            <w:tcW w:w="1311" w:type="pct"/>
            <w:vAlign w:val="center"/>
          </w:tcPr>
          <w:p w14:paraId="282ACCD4"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0D009B63" w14:textId="77777777" w:rsidR="008B3178" w:rsidRPr="005669CE" w:rsidRDefault="008B3178" w:rsidP="008B3178">
            <w:pPr>
              <w:pStyle w:val="TableParagraph"/>
              <w:jc w:val="both"/>
              <w:rPr>
                <w:rFonts w:ascii="Times New Roman"/>
              </w:rPr>
            </w:pPr>
          </w:p>
        </w:tc>
        <w:tc>
          <w:tcPr>
            <w:tcW w:w="558" w:type="pct"/>
          </w:tcPr>
          <w:p w14:paraId="6B55EB8C" w14:textId="77777777" w:rsidR="008B3178" w:rsidRPr="005669CE" w:rsidRDefault="008B3178" w:rsidP="008B3178">
            <w:pPr>
              <w:pStyle w:val="TableParagraph"/>
              <w:jc w:val="both"/>
              <w:rPr>
                <w:rFonts w:ascii="Times New Roman"/>
              </w:rPr>
            </w:pPr>
          </w:p>
        </w:tc>
        <w:tc>
          <w:tcPr>
            <w:tcW w:w="485" w:type="pct"/>
          </w:tcPr>
          <w:p w14:paraId="5A3A37BE" w14:textId="77777777" w:rsidR="008B3178" w:rsidRPr="005669CE" w:rsidRDefault="008B3178" w:rsidP="008B3178">
            <w:pPr>
              <w:pStyle w:val="TableParagraph"/>
              <w:jc w:val="both"/>
              <w:rPr>
                <w:rFonts w:ascii="Times New Roman"/>
              </w:rPr>
            </w:pPr>
          </w:p>
        </w:tc>
        <w:tc>
          <w:tcPr>
            <w:tcW w:w="1664" w:type="pct"/>
          </w:tcPr>
          <w:p w14:paraId="067964CB" w14:textId="77777777" w:rsidR="008B3178" w:rsidRPr="005669CE" w:rsidRDefault="008B3178" w:rsidP="008B3178">
            <w:pPr>
              <w:pStyle w:val="TableParagraph"/>
              <w:jc w:val="both"/>
              <w:rPr>
                <w:rFonts w:ascii="Times New Roman"/>
              </w:rPr>
            </w:pPr>
          </w:p>
        </w:tc>
      </w:tr>
      <w:tr w:rsidR="000C10E3" w14:paraId="164D2575" w14:textId="77777777" w:rsidTr="00F32013">
        <w:trPr>
          <w:trHeight w:val="537"/>
        </w:trPr>
        <w:tc>
          <w:tcPr>
            <w:tcW w:w="136" w:type="pct"/>
            <w:vAlign w:val="center"/>
          </w:tcPr>
          <w:p w14:paraId="329C6AF0" w14:textId="77777777" w:rsidR="008B3178" w:rsidRPr="005669CE" w:rsidRDefault="00DB0A1C" w:rsidP="00784BFC">
            <w:pPr>
              <w:pStyle w:val="TableParagraph"/>
              <w:spacing w:line="268" w:lineRule="exact"/>
              <w:ind w:left="9" w:right="111"/>
            </w:pPr>
            <w:r w:rsidRPr="005669CE">
              <w:rPr>
                <w:lang w:val="fr-FR"/>
              </w:rPr>
              <w:t>9</w:t>
            </w:r>
          </w:p>
        </w:tc>
        <w:tc>
          <w:tcPr>
            <w:tcW w:w="1311" w:type="pct"/>
            <w:vAlign w:val="center"/>
          </w:tcPr>
          <w:p w14:paraId="35BF470A"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061519E9" w14:textId="77777777" w:rsidR="008B3178" w:rsidRPr="005669CE" w:rsidRDefault="008B3178" w:rsidP="008B3178">
            <w:pPr>
              <w:pStyle w:val="TableParagraph"/>
              <w:jc w:val="both"/>
              <w:rPr>
                <w:rFonts w:ascii="Times New Roman"/>
              </w:rPr>
            </w:pPr>
          </w:p>
        </w:tc>
        <w:tc>
          <w:tcPr>
            <w:tcW w:w="558" w:type="pct"/>
          </w:tcPr>
          <w:p w14:paraId="728FB9DC" w14:textId="77777777" w:rsidR="008B3178" w:rsidRPr="005669CE" w:rsidRDefault="008B3178" w:rsidP="008B3178">
            <w:pPr>
              <w:pStyle w:val="TableParagraph"/>
              <w:jc w:val="both"/>
              <w:rPr>
                <w:rFonts w:ascii="Times New Roman"/>
              </w:rPr>
            </w:pPr>
          </w:p>
        </w:tc>
        <w:tc>
          <w:tcPr>
            <w:tcW w:w="485" w:type="pct"/>
          </w:tcPr>
          <w:p w14:paraId="0EDA324C" w14:textId="77777777" w:rsidR="008B3178" w:rsidRPr="005669CE" w:rsidRDefault="008B3178" w:rsidP="008B3178">
            <w:pPr>
              <w:pStyle w:val="TableParagraph"/>
              <w:jc w:val="both"/>
              <w:rPr>
                <w:rFonts w:ascii="Times New Roman"/>
              </w:rPr>
            </w:pPr>
          </w:p>
        </w:tc>
        <w:tc>
          <w:tcPr>
            <w:tcW w:w="1664" w:type="pct"/>
          </w:tcPr>
          <w:p w14:paraId="63C84D5F" w14:textId="77777777" w:rsidR="008B3178" w:rsidRPr="005669CE" w:rsidRDefault="008B3178" w:rsidP="008B3178">
            <w:pPr>
              <w:pStyle w:val="TableParagraph"/>
              <w:jc w:val="both"/>
              <w:rPr>
                <w:rFonts w:ascii="Times New Roman"/>
              </w:rPr>
            </w:pPr>
          </w:p>
        </w:tc>
      </w:tr>
      <w:tr w:rsidR="000C10E3" w14:paraId="0C0F911C" w14:textId="77777777" w:rsidTr="00F32013">
        <w:trPr>
          <w:trHeight w:val="537"/>
        </w:trPr>
        <w:tc>
          <w:tcPr>
            <w:tcW w:w="136" w:type="pct"/>
            <w:vAlign w:val="center"/>
          </w:tcPr>
          <w:p w14:paraId="28A2BB38" w14:textId="77777777" w:rsidR="008B3178" w:rsidRPr="005669CE" w:rsidRDefault="00DB0A1C" w:rsidP="00784BFC">
            <w:pPr>
              <w:pStyle w:val="TableParagraph"/>
              <w:spacing w:line="268" w:lineRule="exact"/>
              <w:ind w:left="9"/>
            </w:pPr>
            <w:r w:rsidRPr="005669CE">
              <w:rPr>
                <w:lang w:val="fr-FR"/>
              </w:rPr>
              <w:t>10</w:t>
            </w:r>
          </w:p>
        </w:tc>
        <w:tc>
          <w:tcPr>
            <w:tcW w:w="1311" w:type="pct"/>
            <w:vAlign w:val="center"/>
          </w:tcPr>
          <w:p w14:paraId="05F5124A"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25CB442D" w14:textId="77777777" w:rsidR="008B3178" w:rsidRPr="005669CE" w:rsidRDefault="008B3178" w:rsidP="008B3178">
            <w:pPr>
              <w:pStyle w:val="TableParagraph"/>
              <w:jc w:val="both"/>
              <w:rPr>
                <w:rFonts w:ascii="Times New Roman"/>
              </w:rPr>
            </w:pPr>
          </w:p>
        </w:tc>
        <w:tc>
          <w:tcPr>
            <w:tcW w:w="558" w:type="pct"/>
          </w:tcPr>
          <w:p w14:paraId="02033B08" w14:textId="77777777" w:rsidR="008B3178" w:rsidRPr="005669CE" w:rsidRDefault="008B3178" w:rsidP="008B3178">
            <w:pPr>
              <w:pStyle w:val="TableParagraph"/>
              <w:jc w:val="both"/>
              <w:rPr>
                <w:rFonts w:ascii="Times New Roman"/>
              </w:rPr>
            </w:pPr>
          </w:p>
        </w:tc>
        <w:tc>
          <w:tcPr>
            <w:tcW w:w="485" w:type="pct"/>
          </w:tcPr>
          <w:p w14:paraId="50FC5CB9" w14:textId="77777777" w:rsidR="008B3178" w:rsidRPr="005669CE" w:rsidRDefault="008B3178" w:rsidP="008B3178">
            <w:pPr>
              <w:pStyle w:val="TableParagraph"/>
              <w:jc w:val="both"/>
              <w:rPr>
                <w:rFonts w:ascii="Times New Roman"/>
              </w:rPr>
            </w:pPr>
          </w:p>
        </w:tc>
        <w:tc>
          <w:tcPr>
            <w:tcW w:w="1664" w:type="pct"/>
          </w:tcPr>
          <w:p w14:paraId="7C7E1599" w14:textId="77777777" w:rsidR="008B3178" w:rsidRPr="005669CE" w:rsidRDefault="008B3178" w:rsidP="008B3178">
            <w:pPr>
              <w:pStyle w:val="TableParagraph"/>
              <w:jc w:val="both"/>
              <w:rPr>
                <w:rFonts w:ascii="Times New Roman"/>
              </w:rPr>
            </w:pPr>
          </w:p>
        </w:tc>
      </w:tr>
      <w:tr w:rsidR="000C10E3" w14:paraId="46D65BD2" w14:textId="77777777" w:rsidTr="00F32013">
        <w:trPr>
          <w:trHeight w:val="537"/>
        </w:trPr>
        <w:tc>
          <w:tcPr>
            <w:tcW w:w="136" w:type="pct"/>
            <w:vAlign w:val="center"/>
          </w:tcPr>
          <w:p w14:paraId="4C3EA2D5" w14:textId="77777777" w:rsidR="008B3178" w:rsidRPr="005669CE" w:rsidRDefault="00DB0A1C" w:rsidP="00784BFC">
            <w:pPr>
              <w:pStyle w:val="TableParagraph"/>
              <w:spacing w:line="268" w:lineRule="exact"/>
              <w:ind w:left="9"/>
            </w:pPr>
            <w:r w:rsidRPr="005669CE">
              <w:rPr>
                <w:lang w:val="fr-FR"/>
              </w:rPr>
              <w:t>11</w:t>
            </w:r>
          </w:p>
        </w:tc>
        <w:tc>
          <w:tcPr>
            <w:tcW w:w="1311" w:type="pct"/>
            <w:vAlign w:val="center"/>
          </w:tcPr>
          <w:p w14:paraId="19F9A00B"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187D9799" w14:textId="77777777" w:rsidR="008B3178" w:rsidRPr="005669CE" w:rsidRDefault="008B3178" w:rsidP="008B3178">
            <w:pPr>
              <w:pStyle w:val="TableParagraph"/>
              <w:jc w:val="both"/>
              <w:rPr>
                <w:rFonts w:ascii="Times New Roman"/>
              </w:rPr>
            </w:pPr>
          </w:p>
        </w:tc>
        <w:tc>
          <w:tcPr>
            <w:tcW w:w="558" w:type="pct"/>
          </w:tcPr>
          <w:p w14:paraId="252D74A4" w14:textId="77777777" w:rsidR="008B3178" w:rsidRPr="005669CE" w:rsidRDefault="008B3178" w:rsidP="008B3178">
            <w:pPr>
              <w:pStyle w:val="TableParagraph"/>
              <w:jc w:val="both"/>
              <w:rPr>
                <w:rFonts w:ascii="Times New Roman"/>
              </w:rPr>
            </w:pPr>
          </w:p>
        </w:tc>
        <w:tc>
          <w:tcPr>
            <w:tcW w:w="485" w:type="pct"/>
          </w:tcPr>
          <w:p w14:paraId="5BE089EC" w14:textId="77777777" w:rsidR="008B3178" w:rsidRPr="005669CE" w:rsidRDefault="008B3178" w:rsidP="008B3178">
            <w:pPr>
              <w:pStyle w:val="TableParagraph"/>
              <w:jc w:val="both"/>
              <w:rPr>
                <w:rFonts w:ascii="Times New Roman"/>
              </w:rPr>
            </w:pPr>
          </w:p>
        </w:tc>
        <w:tc>
          <w:tcPr>
            <w:tcW w:w="1664" w:type="pct"/>
          </w:tcPr>
          <w:p w14:paraId="5018147A" w14:textId="77777777" w:rsidR="008B3178" w:rsidRPr="005669CE" w:rsidRDefault="008B3178" w:rsidP="008B3178">
            <w:pPr>
              <w:pStyle w:val="TableParagraph"/>
              <w:jc w:val="both"/>
              <w:rPr>
                <w:rFonts w:ascii="Times New Roman"/>
              </w:rPr>
            </w:pPr>
          </w:p>
        </w:tc>
      </w:tr>
      <w:tr w:rsidR="000C10E3" w14:paraId="0219FE63" w14:textId="77777777" w:rsidTr="00F32013">
        <w:trPr>
          <w:trHeight w:val="537"/>
        </w:trPr>
        <w:tc>
          <w:tcPr>
            <w:tcW w:w="136" w:type="pct"/>
            <w:vAlign w:val="center"/>
          </w:tcPr>
          <w:p w14:paraId="288D566A" w14:textId="77777777" w:rsidR="008B3178" w:rsidRPr="005669CE" w:rsidRDefault="00DB0A1C" w:rsidP="00784BFC">
            <w:pPr>
              <w:pStyle w:val="TableParagraph"/>
              <w:spacing w:line="268" w:lineRule="exact"/>
              <w:ind w:left="9"/>
            </w:pPr>
            <w:r w:rsidRPr="005669CE">
              <w:rPr>
                <w:lang w:val="fr-FR"/>
              </w:rPr>
              <w:t>12</w:t>
            </w:r>
          </w:p>
        </w:tc>
        <w:tc>
          <w:tcPr>
            <w:tcW w:w="1311" w:type="pct"/>
            <w:vAlign w:val="center"/>
          </w:tcPr>
          <w:p w14:paraId="5138F327"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10D5066C" w14:textId="77777777" w:rsidR="008B3178" w:rsidRPr="005669CE" w:rsidRDefault="008B3178" w:rsidP="008B3178">
            <w:pPr>
              <w:pStyle w:val="TableParagraph"/>
              <w:jc w:val="both"/>
              <w:rPr>
                <w:rFonts w:ascii="Times New Roman"/>
              </w:rPr>
            </w:pPr>
          </w:p>
        </w:tc>
        <w:tc>
          <w:tcPr>
            <w:tcW w:w="558" w:type="pct"/>
          </w:tcPr>
          <w:p w14:paraId="57641C3F" w14:textId="77777777" w:rsidR="008B3178" w:rsidRPr="005669CE" w:rsidRDefault="008B3178" w:rsidP="008B3178">
            <w:pPr>
              <w:pStyle w:val="TableParagraph"/>
              <w:jc w:val="both"/>
              <w:rPr>
                <w:rFonts w:ascii="Times New Roman"/>
              </w:rPr>
            </w:pPr>
          </w:p>
        </w:tc>
        <w:tc>
          <w:tcPr>
            <w:tcW w:w="485" w:type="pct"/>
          </w:tcPr>
          <w:p w14:paraId="369C93E0" w14:textId="77777777" w:rsidR="008B3178" w:rsidRPr="005669CE" w:rsidRDefault="008B3178" w:rsidP="008B3178">
            <w:pPr>
              <w:pStyle w:val="TableParagraph"/>
              <w:jc w:val="both"/>
              <w:rPr>
                <w:rFonts w:ascii="Times New Roman"/>
              </w:rPr>
            </w:pPr>
          </w:p>
        </w:tc>
        <w:tc>
          <w:tcPr>
            <w:tcW w:w="1664" w:type="pct"/>
          </w:tcPr>
          <w:p w14:paraId="2FE1BCF0" w14:textId="77777777" w:rsidR="008B3178" w:rsidRPr="005669CE" w:rsidRDefault="008B3178" w:rsidP="008B3178">
            <w:pPr>
              <w:pStyle w:val="TableParagraph"/>
              <w:jc w:val="both"/>
              <w:rPr>
                <w:rFonts w:ascii="Times New Roman"/>
              </w:rPr>
            </w:pPr>
          </w:p>
        </w:tc>
      </w:tr>
      <w:tr w:rsidR="000C10E3" w14:paraId="3E60B8B6" w14:textId="77777777" w:rsidTr="00F32013">
        <w:trPr>
          <w:trHeight w:val="537"/>
        </w:trPr>
        <w:tc>
          <w:tcPr>
            <w:tcW w:w="136" w:type="pct"/>
            <w:vAlign w:val="center"/>
          </w:tcPr>
          <w:p w14:paraId="3A40BC1C" w14:textId="77777777" w:rsidR="008B3178" w:rsidRPr="005669CE" w:rsidRDefault="00DB0A1C" w:rsidP="00784BFC">
            <w:pPr>
              <w:pStyle w:val="TableParagraph"/>
              <w:spacing w:line="268" w:lineRule="exact"/>
              <w:ind w:left="9"/>
            </w:pPr>
            <w:r w:rsidRPr="005669CE">
              <w:rPr>
                <w:lang w:val="fr-FR"/>
              </w:rPr>
              <w:t>13</w:t>
            </w:r>
          </w:p>
        </w:tc>
        <w:tc>
          <w:tcPr>
            <w:tcW w:w="1311" w:type="pct"/>
            <w:vAlign w:val="center"/>
          </w:tcPr>
          <w:p w14:paraId="607D5517"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433638CF" w14:textId="77777777" w:rsidR="008B3178" w:rsidRPr="005669CE" w:rsidRDefault="008B3178" w:rsidP="008B3178">
            <w:pPr>
              <w:pStyle w:val="TableParagraph"/>
              <w:jc w:val="both"/>
              <w:rPr>
                <w:rFonts w:ascii="Times New Roman"/>
              </w:rPr>
            </w:pPr>
          </w:p>
        </w:tc>
        <w:tc>
          <w:tcPr>
            <w:tcW w:w="558" w:type="pct"/>
          </w:tcPr>
          <w:p w14:paraId="122E34CB" w14:textId="77777777" w:rsidR="008B3178" w:rsidRPr="005669CE" w:rsidRDefault="008B3178" w:rsidP="008B3178">
            <w:pPr>
              <w:pStyle w:val="TableParagraph"/>
              <w:jc w:val="both"/>
              <w:rPr>
                <w:rFonts w:ascii="Times New Roman"/>
              </w:rPr>
            </w:pPr>
          </w:p>
        </w:tc>
        <w:tc>
          <w:tcPr>
            <w:tcW w:w="485" w:type="pct"/>
          </w:tcPr>
          <w:p w14:paraId="11AC1030" w14:textId="77777777" w:rsidR="008B3178" w:rsidRPr="005669CE" w:rsidRDefault="008B3178" w:rsidP="008B3178">
            <w:pPr>
              <w:pStyle w:val="TableParagraph"/>
              <w:jc w:val="both"/>
              <w:rPr>
                <w:rFonts w:ascii="Times New Roman"/>
              </w:rPr>
            </w:pPr>
          </w:p>
        </w:tc>
        <w:tc>
          <w:tcPr>
            <w:tcW w:w="1664" w:type="pct"/>
          </w:tcPr>
          <w:p w14:paraId="10F5BD02" w14:textId="77777777" w:rsidR="008B3178" w:rsidRPr="005669CE" w:rsidRDefault="008B3178" w:rsidP="008B3178">
            <w:pPr>
              <w:pStyle w:val="TableParagraph"/>
              <w:jc w:val="both"/>
              <w:rPr>
                <w:rFonts w:ascii="Times New Roman"/>
              </w:rPr>
            </w:pPr>
          </w:p>
        </w:tc>
      </w:tr>
      <w:tr w:rsidR="000C10E3" w14:paraId="6BC4CD9F" w14:textId="77777777" w:rsidTr="00F32013">
        <w:trPr>
          <w:trHeight w:val="537"/>
        </w:trPr>
        <w:tc>
          <w:tcPr>
            <w:tcW w:w="136" w:type="pct"/>
            <w:vAlign w:val="center"/>
          </w:tcPr>
          <w:p w14:paraId="1F9B06CB" w14:textId="77777777" w:rsidR="008B3178" w:rsidRPr="005669CE" w:rsidRDefault="00DB0A1C" w:rsidP="00784BFC">
            <w:pPr>
              <w:pStyle w:val="TableParagraph"/>
              <w:spacing w:line="268" w:lineRule="exact"/>
              <w:ind w:left="9"/>
            </w:pPr>
            <w:r w:rsidRPr="005669CE">
              <w:rPr>
                <w:lang w:val="fr-FR"/>
              </w:rPr>
              <w:lastRenderedPageBreak/>
              <w:t>14</w:t>
            </w:r>
          </w:p>
        </w:tc>
        <w:tc>
          <w:tcPr>
            <w:tcW w:w="1311" w:type="pct"/>
            <w:vAlign w:val="center"/>
          </w:tcPr>
          <w:p w14:paraId="19606A12"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22D20397" w14:textId="77777777" w:rsidR="008B3178" w:rsidRPr="005669CE" w:rsidRDefault="008B3178" w:rsidP="008B3178">
            <w:pPr>
              <w:pStyle w:val="TableParagraph"/>
              <w:jc w:val="both"/>
              <w:rPr>
                <w:rFonts w:ascii="Times New Roman"/>
              </w:rPr>
            </w:pPr>
          </w:p>
        </w:tc>
        <w:tc>
          <w:tcPr>
            <w:tcW w:w="558" w:type="pct"/>
          </w:tcPr>
          <w:p w14:paraId="6DE08388" w14:textId="77777777" w:rsidR="008B3178" w:rsidRPr="005669CE" w:rsidRDefault="008B3178" w:rsidP="008B3178">
            <w:pPr>
              <w:pStyle w:val="TableParagraph"/>
              <w:jc w:val="both"/>
              <w:rPr>
                <w:rFonts w:ascii="Times New Roman"/>
              </w:rPr>
            </w:pPr>
          </w:p>
        </w:tc>
        <w:tc>
          <w:tcPr>
            <w:tcW w:w="485" w:type="pct"/>
          </w:tcPr>
          <w:p w14:paraId="5922E3C7" w14:textId="77777777" w:rsidR="008B3178" w:rsidRPr="005669CE" w:rsidRDefault="008B3178" w:rsidP="008B3178">
            <w:pPr>
              <w:pStyle w:val="TableParagraph"/>
              <w:jc w:val="both"/>
              <w:rPr>
                <w:rFonts w:ascii="Times New Roman"/>
              </w:rPr>
            </w:pPr>
          </w:p>
        </w:tc>
        <w:tc>
          <w:tcPr>
            <w:tcW w:w="1664" w:type="pct"/>
          </w:tcPr>
          <w:p w14:paraId="2A892E5F" w14:textId="77777777" w:rsidR="008B3178" w:rsidRPr="005669CE" w:rsidRDefault="008B3178" w:rsidP="008B3178">
            <w:pPr>
              <w:pStyle w:val="TableParagraph"/>
              <w:jc w:val="both"/>
              <w:rPr>
                <w:rFonts w:ascii="Times New Roman"/>
              </w:rPr>
            </w:pPr>
          </w:p>
        </w:tc>
      </w:tr>
      <w:tr w:rsidR="000C10E3" w14:paraId="4E364CC2" w14:textId="77777777" w:rsidTr="00F32013">
        <w:trPr>
          <w:trHeight w:val="537"/>
        </w:trPr>
        <w:tc>
          <w:tcPr>
            <w:tcW w:w="136" w:type="pct"/>
            <w:vAlign w:val="center"/>
          </w:tcPr>
          <w:p w14:paraId="7811482A" w14:textId="77777777" w:rsidR="008B3178" w:rsidRPr="005669CE" w:rsidRDefault="00DB0A1C" w:rsidP="00784BFC">
            <w:pPr>
              <w:pStyle w:val="TableParagraph"/>
              <w:spacing w:line="268" w:lineRule="exact"/>
              <w:ind w:left="9"/>
            </w:pPr>
            <w:r w:rsidRPr="005669CE">
              <w:rPr>
                <w:lang w:val="fr-FR"/>
              </w:rPr>
              <w:t>15</w:t>
            </w:r>
          </w:p>
        </w:tc>
        <w:tc>
          <w:tcPr>
            <w:tcW w:w="1311" w:type="pct"/>
            <w:vAlign w:val="center"/>
          </w:tcPr>
          <w:p w14:paraId="4A0A79C1" w14:textId="77777777" w:rsidR="008B3178" w:rsidRPr="005669CE" w:rsidRDefault="00DB0A1C" w:rsidP="008B3178">
            <w:pPr>
              <w:pStyle w:val="TableParagraph"/>
              <w:rPr>
                <w:rFonts w:ascii="Times New Roman"/>
              </w:rPr>
            </w:pPr>
            <w:r w:rsidRPr="005669CE">
              <w:rPr>
                <w:rFonts w:ascii="Verdana" w:hAnsi="Verdana"/>
                <w:color w:val="808080"/>
                <w:sz w:val="21"/>
                <w:szCs w:val="21"/>
                <w:lang w:val="fr-FR"/>
              </w:rPr>
              <w:t>|__|__|__|__|__|__|__|</w:t>
            </w:r>
          </w:p>
        </w:tc>
        <w:tc>
          <w:tcPr>
            <w:tcW w:w="846" w:type="pct"/>
          </w:tcPr>
          <w:p w14:paraId="0EEDBCC1" w14:textId="77777777" w:rsidR="008B3178" w:rsidRPr="005669CE" w:rsidRDefault="008B3178" w:rsidP="008B3178">
            <w:pPr>
              <w:pStyle w:val="TableParagraph"/>
              <w:jc w:val="both"/>
              <w:rPr>
                <w:rFonts w:ascii="Times New Roman"/>
              </w:rPr>
            </w:pPr>
          </w:p>
        </w:tc>
        <w:tc>
          <w:tcPr>
            <w:tcW w:w="558" w:type="pct"/>
          </w:tcPr>
          <w:p w14:paraId="516EF135" w14:textId="77777777" w:rsidR="008B3178" w:rsidRPr="005669CE" w:rsidRDefault="008B3178" w:rsidP="008B3178">
            <w:pPr>
              <w:pStyle w:val="TableParagraph"/>
              <w:jc w:val="both"/>
              <w:rPr>
                <w:rFonts w:ascii="Times New Roman"/>
              </w:rPr>
            </w:pPr>
          </w:p>
        </w:tc>
        <w:tc>
          <w:tcPr>
            <w:tcW w:w="485" w:type="pct"/>
          </w:tcPr>
          <w:p w14:paraId="282867D4" w14:textId="77777777" w:rsidR="008B3178" w:rsidRPr="005669CE" w:rsidRDefault="008B3178" w:rsidP="008B3178">
            <w:pPr>
              <w:pStyle w:val="TableParagraph"/>
              <w:jc w:val="both"/>
              <w:rPr>
                <w:rFonts w:ascii="Times New Roman"/>
              </w:rPr>
            </w:pPr>
          </w:p>
        </w:tc>
        <w:tc>
          <w:tcPr>
            <w:tcW w:w="1664" w:type="pct"/>
          </w:tcPr>
          <w:p w14:paraId="3124073C" w14:textId="77777777" w:rsidR="008B3178" w:rsidRPr="005669CE" w:rsidRDefault="008B3178" w:rsidP="008B3178">
            <w:pPr>
              <w:pStyle w:val="TableParagraph"/>
              <w:jc w:val="both"/>
              <w:rPr>
                <w:rFonts w:ascii="Times New Roman"/>
              </w:rPr>
            </w:pPr>
          </w:p>
        </w:tc>
      </w:tr>
      <w:tr w:rsidR="000C10E3" w14:paraId="5B75543B" w14:textId="77777777" w:rsidTr="00F32013">
        <w:trPr>
          <w:trHeight w:val="537"/>
        </w:trPr>
        <w:tc>
          <w:tcPr>
            <w:tcW w:w="136" w:type="pct"/>
            <w:vAlign w:val="center"/>
          </w:tcPr>
          <w:p w14:paraId="142B7EA7" w14:textId="77777777" w:rsidR="002B4D9B" w:rsidRPr="005669CE" w:rsidRDefault="00DB0A1C" w:rsidP="00784BFC">
            <w:pPr>
              <w:pStyle w:val="TableParagraph"/>
              <w:spacing w:line="268" w:lineRule="exact"/>
              <w:ind w:left="9"/>
              <w:rPr>
                <w:spacing w:val="-5"/>
              </w:rPr>
            </w:pPr>
            <w:r w:rsidRPr="005669CE">
              <w:rPr>
                <w:spacing w:val="-5"/>
                <w:lang w:val="fr-FR"/>
              </w:rPr>
              <w:t>16</w:t>
            </w:r>
          </w:p>
        </w:tc>
        <w:tc>
          <w:tcPr>
            <w:tcW w:w="1311" w:type="pct"/>
            <w:vAlign w:val="center"/>
          </w:tcPr>
          <w:p w14:paraId="63A68DC7" w14:textId="77777777" w:rsidR="002B4D9B" w:rsidRPr="005669CE" w:rsidRDefault="00DB0A1C" w:rsidP="002B4D9B">
            <w:pPr>
              <w:pStyle w:val="TableParagraph"/>
              <w:rPr>
                <w:rFonts w:ascii="Verdana" w:hAnsi="Verdana"/>
                <w:color w:val="808080"/>
                <w:sz w:val="21"/>
                <w:szCs w:val="21"/>
              </w:rPr>
            </w:pPr>
            <w:r w:rsidRPr="005669CE">
              <w:rPr>
                <w:rFonts w:ascii="Verdana" w:hAnsi="Verdana"/>
                <w:color w:val="808080"/>
                <w:sz w:val="21"/>
                <w:szCs w:val="21"/>
                <w:lang w:val="fr-FR"/>
              </w:rPr>
              <w:t>|__|__|__|__|__|__|__|</w:t>
            </w:r>
          </w:p>
        </w:tc>
        <w:tc>
          <w:tcPr>
            <w:tcW w:w="846" w:type="pct"/>
          </w:tcPr>
          <w:p w14:paraId="079A0594" w14:textId="77777777" w:rsidR="002B4D9B" w:rsidRPr="005669CE" w:rsidRDefault="002B4D9B" w:rsidP="002B4D9B">
            <w:pPr>
              <w:pStyle w:val="TableParagraph"/>
              <w:jc w:val="both"/>
              <w:rPr>
                <w:rFonts w:ascii="Times New Roman"/>
              </w:rPr>
            </w:pPr>
          </w:p>
        </w:tc>
        <w:tc>
          <w:tcPr>
            <w:tcW w:w="558" w:type="pct"/>
          </w:tcPr>
          <w:p w14:paraId="3AD4C307" w14:textId="77777777" w:rsidR="002B4D9B" w:rsidRPr="005669CE" w:rsidRDefault="002B4D9B" w:rsidP="002B4D9B">
            <w:pPr>
              <w:pStyle w:val="TableParagraph"/>
              <w:jc w:val="both"/>
              <w:rPr>
                <w:rFonts w:ascii="Times New Roman"/>
              </w:rPr>
            </w:pPr>
          </w:p>
        </w:tc>
        <w:tc>
          <w:tcPr>
            <w:tcW w:w="485" w:type="pct"/>
          </w:tcPr>
          <w:p w14:paraId="0F4AA93B" w14:textId="77777777" w:rsidR="002B4D9B" w:rsidRPr="005669CE" w:rsidRDefault="002B4D9B" w:rsidP="002B4D9B">
            <w:pPr>
              <w:pStyle w:val="TableParagraph"/>
              <w:jc w:val="both"/>
              <w:rPr>
                <w:rFonts w:ascii="Times New Roman"/>
              </w:rPr>
            </w:pPr>
          </w:p>
        </w:tc>
        <w:tc>
          <w:tcPr>
            <w:tcW w:w="1664" w:type="pct"/>
          </w:tcPr>
          <w:p w14:paraId="3E4AED10" w14:textId="77777777" w:rsidR="002B4D9B" w:rsidRPr="005669CE" w:rsidRDefault="002B4D9B" w:rsidP="002B4D9B">
            <w:pPr>
              <w:pStyle w:val="TableParagraph"/>
              <w:jc w:val="both"/>
              <w:rPr>
                <w:rFonts w:ascii="Times New Roman"/>
              </w:rPr>
            </w:pPr>
          </w:p>
        </w:tc>
      </w:tr>
      <w:tr w:rsidR="000C10E3" w14:paraId="56CF21A4" w14:textId="77777777" w:rsidTr="00F32013">
        <w:trPr>
          <w:trHeight w:val="537"/>
        </w:trPr>
        <w:tc>
          <w:tcPr>
            <w:tcW w:w="136" w:type="pct"/>
            <w:vAlign w:val="center"/>
          </w:tcPr>
          <w:p w14:paraId="3F2D37F8" w14:textId="77777777" w:rsidR="002B4D9B" w:rsidRPr="005669CE" w:rsidRDefault="00DB0A1C" w:rsidP="00784BFC">
            <w:pPr>
              <w:pStyle w:val="TableParagraph"/>
              <w:spacing w:line="268" w:lineRule="exact"/>
              <w:ind w:left="9"/>
              <w:rPr>
                <w:spacing w:val="-5"/>
              </w:rPr>
            </w:pPr>
            <w:r w:rsidRPr="005669CE">
              <w:rPr>
                <w:spacing w:val="-5"/>
                <w:lang w:val="fr-FR"/>
              </w:rPr>
              <w:t>17</w:t>
            </w:r>
          </w:p>
        </w:tc>
        <w:tc>
          <w:tcPr>
            <w:tcW w:w="1311" w:type="pct"/>
            <w:vAlign w:val="center"/>
          </w:tcPr>
          <w:p w14:paraId="44C90B72" w14:textId="77777777" w:rsidR="002B4D9B" w:rsidRPr="005669CE" w:rsidRDefault="00DB0A1C" w:rsidP="002B4D9B">
            <w:pPr>
              <w:pStyle w:val="TableParagraph"/>
              <w:rPr>
                <w:rFonts w:ascii="Verdana" w:hAnsi="Verdana"/>
                <w:color w:val="808080"/>
                <w:sz w:val="21"/>
                <w:szCs w:val="21"/>
              </w:rPr>
            </w:pPr>
            <w:r w:rsidRPr="005669CE">
              <w:rPr>
                <w:rFonts w:ascii="Verdana" w:hAnsi="Verdana"/>
                <w:color w:val="808080"/>
                <w:sz w:val="21"/>
                <w:szCs w:val="21"/>
                <w:lang w:val="fr-FR"/>
              </w:rPr>
              <w:t>|__|__|__|__|__|__|__|</w:t>
            </w:r>
          </w:p>
        </w:tc>
        <w:tc>
          <w:tcPr>
            <w:tcW w:w="846" w:type="pct"/>
          </w:tcPr>
          <w:p w14:paraId="6FC8F2E5" w14:textId="77777777" w:rsidR="002B4D9B" w:rsidRPr="005669CE" w:rsidRDefault="002B4D9B" w:rsidP="002B4D9B">
            <w:pPr>
              <w:pStyle w:val="TableParagraph"/>
              <w:jc w:val="both"/>
              <w:rPr>
                <w:rFonts w:ascii="Times New Roman"/>
              </w:rPr>
            </w:pPr>
          </w:p>
        </w:tc>
        <w:tc>
          <w:tcPr>
            <w:tcW w:w="558" w:type="pct"/>
          </w:tcPr>
          <w:p w14:paraId="0B1B3D45" w14:textId="77777777" w:rsidR="002B4D9B" w:rsidRPr="005669CE" w:rsidRDefault="002B4D9B" w:rsidP="002B4D9B">
            <w:pPr>
              <w:pStyle w:val="TableParagraph"/>
              <w:jc w:val="both"/>
              <w:rPr>
                <w:rFonts w:ascii="Times New Roman"/>
              </w:rPr>
            </w:pPr>
          </w:p>
        </w:tc>
        <w:tc>
          <w:tcPr>
            <w:tcW w:w="485" w:type="pct"/>
          </w:tcPr>
          <w:p w14:paraId="2F0A4022" w14:textId="77777777" w:rsidR="002B4D9B" w:rsidRPr="005669CE" w:rsidRDefault="002B4D9B" w:rsidP="002B4D9B">
            <w:pPr>
              <w:pStyle w:val="TableParagraph"/>
              <w:jc w:val="both"/>
              <w:rPr>
                <w:rFonts w:ascii="Times New Roman"/>
              </w:rPr>
            </w:pPr>
          </w:p>
        </w:tc>
        <w:tc>
          <w:tcPr>
            <w:tcW w:w="1664" w:type="pct"/>
          </w:tcPr>
          <w:p w14:paraId="374B1771" w14:textId="77777777" w:rsidR="002B4D9B" w:rsidRPr="005669CE" w:rsidRDefault="002B4D9B" w:rsidP="002B4D9B">
            <w:pPr>
              <w:pStyle w:val="TableParagraph"/>
              <w:jc w:val="both"/>
              <w:rPr>
                <w:rFonts w:ascii="Times New Roman"/>
              </w:rPr>
            </w:pPr>
          </w:p>
        </w:tc>
      </w:tr>
      <w:tr w:rsidR="000C10E3" w14:paraId="0F2B376B" w14:textId="77777777" w:rsidTr="00F32013">
        <w:trPr>
          <w:trHeight w:val="537"/>
        </w:trPr>
        <w:tc>
          <w:tcPr>
            <w:tcW w:w="136" w:type="pct"/>
            <w:vAlign w:val="center"/>
          </w:tcPr>
          <w:p w14:paraId="634A7761" w14:textId="77777777" w:rsidR="002B4D9B" w:rsidRPr="005669CE" w:rsidRDefault="00DB0A1C" w:rsidP="00784BFC">
            <w:pPr>
              <w:pStyle w:val="TableParagraph"/>
              <w:spacing w:line="268" w:lineRule="exact"/>
              <w:ind w:left="9"/>
              <w:rPr>
                <w:spacing w:val="-5"/>
              </w:rPr>
            </w:pPr>
            <w:r w:rsidRPr="005669CE">
              <w:rPr>
                <w:spacing w:val="-5"/>
                <w:lang w:val="fr-FR"/>
              </w:rPr>
              <w:t>18</w:t>
            </w:r>
          </w:p>
        </w:tc>
        <w:tc>
          <w:tcPr>
            <w:tcW w:w="1311" w:type="pct"/>
            <w:vAlign w:val="center"/>
          </w:tcPr>
          <w:p w14:paraId="3AD2A62C" w14:textId="77777777" w:rsidR="002B4D9B" w:rsidRPr="005669CE" w:rsidRDefault="00DB0A1C" w:rsidP="002B4D9B">
            <w:pPr>
              <w:pStyle w:val="TableParagraph"/>
              <w:rPr>
                <w:rFonts w:ascii="Verdana" w:hAnsi="Verdana"/>
                <w:color w:val="808080"/>
                <w:sz w:val="21"/>
                <w:szCs w:val="21"/>
              </w:rPr>
            </w:pPr>
            <w:r w:rsidRPr="005669CE">
              <w:rPr>
                <w:rFonts w:ascii="Verdana" w:hAnsi="Verdana"/>
                <w:color w:val="808080"/>
                <w:sz w:val="21"/>
                <w:szCs w:val="21"/>
                <w:lang w:val="fr-FR"/>
              </w:rPr>
              <w:t>|__|__|__|__|__|__|__|</w:t>
            </w:r>
          </w:p>
        </w:tc>
        <w:tc>
          <w:tcPr>
            <w:tcW w:w="846" w:type="pct"/>
          </w:tcPr>
          <w:p w14:paraId="3E3DA8F9" w14:textId="77777777" w:rsidR="002B4D9B" w:rsidRPr="005669CE" w:rsidRDefault="002B4D9B" w:rsidP="002B4D9B">
            <w:pPr>
              <w:pStyle w:val="TableParagraph"/>
              <w:jc w:val="both"/>
              <w:rPr>
                <w:rFonts w:ascii="Times New Roman"/>
              </w:rPr>
            </w:pPr>
          </w:p>
        </w:tc>
        <w:tc>
          <w:tcPr>
            <w:tcW w:w="558" w:type="pct"/>
          </w:tcPr>
          <w:p w14:paraId="5E881AC4" w14:textId="77777777" w:rsidR="002B4D9B" w:rsidRPr="005669CE" w:rsidRDefault="002B4D9B" w:rsidP="002B4D9B">
            <w:pPr>
              <w:pStyle w:val="TableParagraph"/>
              <w:jc w:val="both"/>
              <w:rPr>
                <w:rFonts w:ascii="Times New Roman"/>
              </w:rPr>
            </w:pPr>
          </w:p>
        </w:tc>
        <w:tc>
          <w:tcPr>
            <w:tcW w:w="485" w:type="pct"/>
          </w:tcPr>
          <w:p w14:paraId="2677C7E4" w14:textId="77777777" w:rsidR="002B4D9B" w:rsidRPr="005669CE" w:rsidRDefault="002B4D9B" w:rsidP="002B4D9B">
            <w:pPr>
              <w:pStyle w:val="TableParagraph"/>
              <w:jc w:val="both"/>
              <w:rPr>
                <w:rFonts w:ascii="Times New Roman"/>
              </w:rPr>
            </w:pPr>
          </w:p>
        </w:tc>
        <w:tc>
          <w:tcPr>
            <w:tcW w:w="1664" w:type="pct"/>
          </w:tcPr>
          <w:p w14:paraId="5C3C44E0" w14:textId="77777777" w:rsidR="002B4D9B" w:rsidRPr="005669CE" w:rsidRDefault="002B4D9B" w:rsidP="002B4D9B">
            <w:pPr>
              <w:pStyle w:val="TableParagraph"/>
              <w:jc w:val="both"/>
              <w:rPr>
                <w:rFonts w:ascii="Times New Roman"/>
              </w:rPr>
            </w:pPr>
          </w:p>
        </w:tc>
      </w:tr>
      <w:tr w:rsidR="000C10E3" w14:paraId="0662E415" w14:textId="77777777" w:rsidTr="00F32013">
        <w:trPr>
          <w:trHeight w:val="537"/>
        </w:trPr>
        <w:tc>
          <w:tcPr>
            <w:tcW w:w="136" w:type="pct"/>
            <w:vAlign w:val="center"/>
          </w:tcPr>
          <w:p w14:paraId="07F9C8E2" w14:textId="77777777" w:rsidR="002B4D9B" w:rsidRPr="005669CE" w:rsidRDefault="00DB0A1C" w:rsidP="00784BFC">
            <w:pPr>
              <w:pStyle w:val="TableParagraph"/>
              <w:spacing w:line="268" w:lineRule="exact"/>
              <w:ind w:left="9"/>
              <w:rPr>
                <w:spacing w:val="-5"/>
              </w:rPr>
            </w:pPr>
            <w:r w:rsidRPr="005669CE">
              <w:rPr>
                <w:spacing w:val="-5"/>
                <w:lang w:val="fr-FR"/>
              </w:rPr>
              <w:t>19</w:t>
            </w:r>
          </w:p>
        </w:tc>
        <w:tc>
          <w:tcPr>
            <w:tcW w:w="1311" w:type="pct"/>
            <w:vAlign w:val="center"/>
          </w:tcPr>
          <w:p w14:paraId="149C44BF" w14:textId="77777777" w:rsidR="002B4D9B" w:rsidRPr="005669CE" w:rsidRDefault="00DB0A1C" w:rsidP="002B4D9B">
            <w:pPr>
              <w:pStyle w:val="TableParagraph"/>
              <w:rPr>
                <w:rFonts w:ascii="Verdana" w:hAnsi="Verdana"/>
                <w:color w:val="808080"/>
                <w:sz w:val="21"/>
                <w:szCs w:val="21"/>
              </w:rPr>
            </w:pPr>
            <w:r w:rsidRPr="005669CE">
              <w:rPr>
                <w:rFonts w:ascii="Verdana" w:hAnsi="Verdana"/>
                <w:color w:val="808080"/>
                <w:sz w:val="21"/>
                <w:szCs w:val="21"/>
                <w:lang w:val="fr-FR"/>
              </w:rPr>
              <w:t>|__|__|__|__|__|__|__|</w:t>
            </w:r>
          </w:p>
        </w:tc>
        <w:tc>
          <w:tcPr>
            <w:tcW w:w="846" w:type="pct"/>
          </w:tcPr>
          <w:p w14:paraId="4A06012B" w14:textId="77777777" w:rsidR="002B4D9B" w:rsidRPr="005669CE" w:rsidRDefault="002B4D9B" w:rsidP="002B4D9B">
            <w:pPr>
              <w:pStyle w:val="TableParagraph"/>
              <w:jc w:val="both"/>
              <w:rPr>
                <w:rFonts w:ascii="Times New Roman"/>
              </w:rPr>
            </w:pPr>
          </w:p>
        </w:tc>
        <w:tc>
          <w:tcPr>
            <w:tcW w:w="558" w:type="pct"/>
          </w:tcPr>
          <w:p w14:paraId="6367A7C9" w14:textId="77777777" w:rsidR="002B4D9B" w:rsidRPr="005669CE" w:rsidRDefault="002B4D9B" w:rsidP="002B4D9B">
            <w:pPr>
              <w:pStyle w:val="TableParagraph"/>
              <w:jc w:val="both"/>
              <w:rPr>
                <w:rFonts w:ascii="Times New Roman"/>
              </w:rPr>
            </w:pPr>
          </w:p>
        </w:tc>
        <w:tc>
          <w:tcPr>
            <w:tcW w:w="485" w:type="pct"/>
          </w:tcPr>
          <w:p w14:paraId="1A9CA9B5" w14:textId="77777777" w:rsidR="002B4D9B" w:rsidRPr="005669CE" w:rsidRDefault="002B4D9B" w:rsidP="002B4D9B">
            <w:pPr>
              <w:pStyle w:val="TableParagraph"/>
              <w:jc w:val="both"/>
              <w:rPr>
                <w:rFonts w:ascii="Times New Roman"/>
              </w:rPr>
            </w:pPr>
          </w:p>
        </w:tc>
        <w:tc>
          <w:tcPr>
            <w:tcW w:w="1664" w:type="pct"/>
          </w:tcPr>
          <w:p w14:paraId="07273683" w14:textId="77777777" w:rsidR="002B4D9B" w:rsidRPr="005669CE" w:rsidRDefault="002B4D9B" w:rsidP="002B4D9B">
            <w:pPr>
              <w:pStyle w:val="TableParagraph"/>
              <w:jc w:val="both"/>
              <w:rPr>
                <w:rFonts w:ascii="Times New Roman"/>
              </w:rPr>
            </w:pPr>
          </w:p>
        </w:tc>
      </w:tr>
      <w:tr w:rsidR="000C10E3" w14:paraId="065703ED" w14:textId="77777777" w:rsidTr="00F32013">
        <w:trPr>
          <w:trHeight w:val="537"/>
        </w:trPr>
        <w:tc>
          <w:tcPr>
            <w:tcW w:w="136" w:type="pct"/>
            <w:vAlign w:val="center"/>
          </w:tcPr>
          <w:p w14:paraId="1AD4BEB7" w14:textId="77777777" w:rsidR="002B4D9B" w:rsidRPr="005669CE" w:rsidRDefault="00DB0A1C" w:rsidP="00784BFC">
            <w:pPr>
              <w:pStyle w:val="TableParagraph"/>
              <w:spacing w:line="268" w:lineRule="exact"/>
              <w:ind w:left="9"/>
              <w:rPr>
                <w:spacing w:val="-5"/>
              </w:rPr>
            </w:pPr>
            <w:r w:rsidRPr="005669CE">
              <w:rPr>
                <w:spacing w:val="-5"/>
                <w:lang w:val="fr-FR"/>
              </w:rPr>
              <w:t>20</w:t>
            </w:r>
          </w:p>
        </w:tc>
        <w:tc>
          <w:tcPr>
            <w:tcW w:w="1311" w:type="pct"/>
            <w:vAlign w:val="center"/>
          </w:tcPr>
          <w:p w14:paraId="6EA53816" w14:textId="77777777" w:rsidR="002B4D9B" w:rsidRPr="005669CE" w:rsidRDefault="00DB0A1C" w:rsidP="002B4D9B">
            <w:pPr>
              <w:pStyle w:val="TableParagraph"/>
              <w:rPr>
                <w:rFonts w:ascii="Verdana" w:hAnsi="Verdana"/>
                <w:color w:val="808080"/>
                <w:sz w:val="21"/>
                <w:szCs w:val="21"/>
              </w:rPr>
            </w:pPr>
            <w:r w:rsidRPr="005669CE">
              <w:rPr>
                <w:rFonts w:ascii="Verdana" w:hAnsi="Verdana"/>
                <w:color w:val="808080"/>
                <w:sz w:val="21"/>
                <w:szCs w:val="21"/>
                <w:lang w:val="fr-FR"/>
              </w:rPr>
              <w:t>|__|__|__|__|__|__|__|</w:t>
            </w:r>
          </w:p>
        </w:tc>
        <w:tc>
          <w:tcPr>
            <w:tcW w:w="846" w:type="pct"/>
          </w:tcPr>
          <w:p w14:paraId="53659A61" w14:textId="77777777" w:rsidR="002B4D9B" w:rsidRPr="005669CE" w:rsidRDefault="002B4D9B" w:rsidP="002B4D9B">
            <w:pPr>
              <w:pStyle w:val="TableParagraph"/>
              <w:jc w:val="both"/>
              <w:rPr>
                <w:rFonts w:ascii="Times New Roman"/>
              </w:rPr>
            </w:pPr>
          </w:p>
        </w:tc>
        <w:tc>
          <w:tcPr>
            <w:tcW w:w="558" w:type="pct"/>
          </w:tcPr>
          <w:p w14:paraId="7BE054C6" w14:textId="77777777" w:rsidR="002B4D9B" w:rsidRPr="005669CE" w:rsidRDefault="002B4D9B" w:rsidP="002B4D9B">
            <w:pPr>
              <w:pStyle w:val="TableParagraph"/>
              <w:jc w:val="both"/>
              <w:rPr>
                <w:rFonts w:ascii="Times New Roman"/>
              </w:rPr>
            </w:pPr>
          </w:p>
        </w:tc>
        <w:tc>
          <w:tcPr>
            <w:tcW w:w="485" w:type="pct"/>
          </w:tcPr>
          <w:p w14:paraId="68213274" w14:textId="77777777" w:rsidR="002B4D9B" w:rsidRPr="005669CE" w:rsidRDefault="002B4D9B" w:rsidP="002B4D9B">
            <w:pPr>
              <w:pStyle w:val="TableParagraph"/>
              <w:jc w:val="both"/>
              <w:rPr>
                <w:rFonts w:ascii="Times New Roman"/>
              </w:rPr>
            </w:pPr>
          </w:p>
        </w:tc>
        <w:tc>
          <w:tcPr>
            <w:tcW w:w="1664" w:type="pct"/>
          </w:tcPr>
          <w:p w14:paraId="5C99762A" w14:textId="77777777" w:rsidR="002B4D9B" w:rsidRPr="005669CE" w:rsidRDefault="002B4D9B" w:rsidP="002B4D9B">
            <w:pPr>
              <w:pStyle w:val="TableParagraph"/>
              <w:jc w:val="both"/>
              <w:rPr>
                <w:rFonts w:ascii="Times New Roman"/>
              </w:rPr>
            </w:pPr>
          </w:p>
        </w:tc>
      </w:tr>
      <w:tr w:rsidR="000C10E3" w14:paraId="0034939D" w14:textId="77777777" w:rsidTr="00F32013">
        <w:trPr>
          <w:trHeight w:val="537"/>
        </w:trPr>
        <w:tc>
          <w:tcPr>
            <w:tcW w:w="136" w:type="pct"/>
            <w:vAlign w:val="center"/>
          </w:tcPr>
          <w:p w14:paraId="533E4655" w14:textId="77777777" w:rsidR="002B4D9B" w:rsidRPr="005669CE" w:rsidRDefault="00DB0A1C" w:rsidP="00784BFC">
            <w:pPr>
              <w:pStyle w:val="TableParagraph"/>
              <w:spacing w:line="268" w:lineRule="exact"/>
              <w:ind w:left="9"/>
              <w:rPr>
                <w:spacing w:val="-5"/>
              </w:rPr>
            </w:pPr>
            <w:r w:rsidRPr="005669CE">
              <w:rPr>
                <w:spacing w:val="-5"/>
                <w:lang w:val="fr-FR"/>
              </w:rPr>
              <w:t>21</w:t>
            </w:r>
          </w:p>
        </w:tc>
        <w:tc>
          <w:tcPr>
            <w:tcW w:w="1311" w:type="pct"/>
            <w:vAlign w:val="center"/>
          </w:tcPr>
          <w:p w14:paraId="171CFD4E" w14:textId="77777777" w:rsidR="002B4D9B" w:rsidRPr="005669CE" w:rsidRDefault="00DB0A1C" w:rsidP="002B4D9B">
            <w:pPr>
              <w:pStyle w:val="TableParagraph"/>
              <w:rPr>
                <w:rFonts w:ascii="Verdana" w:hAnsi="Verdana"/>
                <w:color w:val="808080"/>
                <w:sz w:val="21"/>
                <w:szCs w:val="21"/>
              </w:rPr>
            </w:pPr>
            <w:r w:rsidRPr="005669CE">
              <w:rPr>
                <w:rFonts w:ascii="Verdana" w:hAnsi="Verdana"/>
                <w:color w:val="808080"/>
                <w:sz w:val="21"/>
                <w:szCs w:val="21"/>
                <w:lang w:val="fr-FR"/>
              </w:rPr>
              <w:t>|__|__|__|__|__|__|__|</w:t>
            </w:r>
          </w:p>
        </w:tc>
        <w:tc>
          <w:tcPr>
            <w:tcW w:w="846" w:type="pct"/>
          </w:tcPr>
          <w:p w14:paraId="4E2E4551" w14:textId="77777777" w:rsidR="002B4D9B" w:rsidRPr="005669CE" w:rsidRDefault="002B4D9B" w:rsidP="002B4D9B">
            <w:pPr>
              <w:pStyle w:val="TableParagraph"/>
              <w:jc w:val="both"/>
              <w:rPr>
                <w:rFonts w:ascii="Times New Roman"/>
              </w:rPr>
            </w:pPr>
          </w:p>
        </w:tc>
        <w:tc>
          <w:tcPr>
            <w:tcW w:w="558" w:type="pct"/>
          </w:tcPr>
          <w:p w14:paraId="6026262A" w14:textId="77777777" w:rsidR="002B4D9B" w:rsidRPr="005669CE" w:rsidRDefault="002B4D9B" w:rsidP="002B4D9B">
            <w:pPr>
              <w:pStyle w:val="TableParagraph"/>
              <w:jc w:val="both"/>
              <w:rPr>
                <w:rFonts w:ascii="Times New Roman"/>
              </w:rPr>
            </w:pPr>
          </w:p>
        </w:tc>
        <w:tc>
          <w:tcPr>
            <w:tcW w:w="485" w:type="pct"/>
          </w:tcPr>
          <w:p w14:paraId="32930F1F" w14:textId="77777777" w:rsidR="002B4D9B" w:rsidRPr="005669CE" w:rsidRDefault="002B4D9B" w:rsidP="002B4D9B">
            <w:pPr>
              <w:pStyle w:val="TableParagraph"/>
              <w:jc w:val="both"/>
              <w:rPr>
                <w:rFonts w:ascii="Times New Roman"/>
              </w:rPr>
            </w:pPr>
          </w:p>
        </w:tc>
        <w:tc>
          <w:tcPr>
            <w:tcW w:w="1664" w:type="pct"/>
          </w:tcPr>
          <w:p w14:paraId="4EB7E763" w14:textId="77777777" w:rsidR="002B4D9B" w:rsidRPr="005669CE" w:rsidRDefault="002B4D9B" w:rsidP="002B4D9B">
            <w:pPr>
              <w:pStyle w:val="TableParagraph"/>
              <w:jc w:val="both"/>
              <w:rPr>
                <w:rFonts w:ascii="Times New Roman"/>
              </w:rPr>
            </w:pPr>
          </w:p>
        </w:tc>
      </w:tr>
      <w:tr w:rsidR="000C10E3" w14:paraId="2EC3AB11" w14:textId="77777777" w:rsidTr="00F32013">
        <w:trPr>
          <w:trHeight w:val="537"/>
        </w:trPr>
        <w:tc>
          <w:tcPr>
            <w:tcW w:w="136" w:type="pct"/>
            <w:vAlign w:val="center"/>
          </w:tcPr>
          <w:p w14:paraId="7C0FAEEB" w14:textId="77777777" w:rsidR="002B4D9B" w:rsidRPr="005669CE" w:rsidRDefault="00DB0A1C" w:rsidP="00784BFC">
            <w:pPr>
              <w:pStyle w:val="TableParagraph"/>
              <w:spacing w:line="268" w:lineRule="exact"/>
              <w:ind w:left="9"/>
              <w:rPr>
                <w:spacing w:val="-5"/>
              </w:rPr>
            </w:pPr>
            <w:r w:rsidRPr="005669CE">
              <w:rPr>
                <w:spacing w:val="-5"/>
                <w:lang w:val="fr-FR"/>
              </w:rPr>
              <w:t>22</w:t>
            </w:r>
          </w:p>
        </w:tc>
        <w:tc>
          <w:tcPr>
            <w:tcW w:w="1311" w:type="pct"/>
            <w:vAlign w:val="center"/>
          </w:tcPr>
          <w:p w14:paraId="00B6791E" w14:textId="77777777" w:rsidR="002B4D9B" w:rsidRPr="005669CE" w:rsidRDefault="00DB0A1C" w:rsidP="002B4D9B">
            <w:pPr>
              <w:pStyle w:val="TableParagraph"/>
              <w:rPr>
                <w:rFonts w:ascii="Verdana" w:hAnsi="Verdana"/>
                <w:color w:val="808080"/>
                <w:sz w:val="21"/>
                <w:szCs w:val="21"/>
              </w:rPr>
            </w:pPr>
            <w:r w:rsidRPr="005669CE">
              <w:rPr>
                <w:rFonts w:ascii="Verdana" w:hAnsi="Verdana"/>
                <w:color w:val="808080"/>
                <w:sz w:val="21"/>
                <w:szCs w:val="21"/>
                <w:lang w:val="fr-FR"/>
              </w:rPr>
              <w:t>|__|__|__|__|__|__|__|</w:t>
            </w:r>
          </w:p>
        </w:tc>
        <w:tc>
          <w:tcPr>
            <w:tcW w:w="846" w:type="pct"/>
          </w:tcPr>
          <w:p w14:paraId="73512C9E" w14:textId="77777777" w:rsidR="002B4D9B" w:rsidRPr="005669CE" w:rsidRDefault="002B4D9B" w:rsidP="002B4D9B">
            <w:pPr>
              <w:pStyle w:val="TableParagraph"/>
              <w:jc w:val="both"/>
              <w:rPr>
                <w:rFonts w:ascii="Times New Roman"/>
              </w:rPr>
            </w:pPr>
          </w:p>
        </w:tc>
        <w:tc>
          <w:tcPr>
            <w:tcW w:w="558" w:type="pct"/>
          </w:tcPr>
          <w:p w14:paraId="0C299680" w14:textId="77777777" w:rsidR="002B4D9B" w:rsidRPr="005669CE" w:rsidRDefault="002B4D9B" w:rsidP="002B4D9B">
            <w:pPr>
              <w:pStyle w:val="TableParagraph"/>
              <w:jc w:val="both"/>
              <w:rPr>
                <w:rFonts w:ascii="Times New Roman"/>
              </w:rPr>
            </w:pPr>
          </w:p>
        </w:tc>
        <w:tc>
          <w:tcPr>
            <w:tcW w:w="485" w:type="pct"/>
          </w:tcPr>
          <w:p w14:paraId="327F5723" w14:textId="77777777" w:rsidR="002B4D9B" w:rsidRPr="005669CE" w:rsidRDefault="002B4D9B" w:rsidP="002B4D9B">
            <w:pPr>
              <w:pStyle w:val="TableParagraph"/>
              <w:jc w:val="both"/>
              <w:rPr>
                <w:rFonts w:ascii="Times New Roman"/>
              </w:rPr>
            </w:pPr>
          </w:p>
        </w:tc>
        <w:tc>
          <w:tcPr>
            <w:tcW w:w="1664" w:type="pct"/>
          </w:tcPr>
          <w:p w14:paraId="5A3E9AC0" w14:textId="77777777" w:rsidR="002B4D9B" w:rsidRPr="005669CE" w:rsidRDefault="002B4D9B" w:rsidP="002B4D9B">
            <w:pPr>
              <w:pStyle w:val="TableParagraph"/>
              <w:jc w:val="both"/>
              <w:rPr>
                <w:rFonts w:ascii="Times New Roman"/>
              </w:rPr>
            </w:pPr>
          </w:p>
        </w:tc>
      </w:tr>
    </w:tbl>
    <w:p w14:paraId="6705F84C" w14:textId="77777777" w:rsidR="000E2E95" w:rsidRPr="005669CE" w:rsidRDefault="000E2E95" w:rsidP="00CE74C2">
      <w:pPr>
        <w:jc w:val="both"/>
        <w:rPr>
          <w:rFonts w:ascii="Times New Roman"/>
        </w:rPr>
        <w:sectPr w:rsidR="000E2E95" w:rsidRPr="005669CE" w:rsidSect="008622E9">
          <w:pgSz w:w="12240" w:h="15840"/>
          <w:pgMar w:top="1440" w:right="1077" w:bottom="1440" w:left="1077" w:header="720" w:footer="720" w:gutter="0"/>
          <w:cols w:space="720"/>
        </w:sectPr>
      </w:pPr>
    </w:p>
    <w:p w14:paraId="6B137777" w14:textId="77777777" w:rsidR="000E2E95" w:rsidRPr="005669CE" w:rsidRDefault="000E2E95" w:rsidP="00CE74C2">
      <w:pPr>
        <w:jc w:val="both"/>
        <w:rPr>
          <w:rFonts w:ascii="Times New Roman"/>
        </w:rPr>
        <w:sectPr w:rsidR="000E2E95" w:rsidRPr="005669CE" w:rsidSect="008622E9">
          <w:type w:val="continuous"/>
          <w:pgSz w:w="12240" w:h="15840"/>
          <w:pgMar w:top="1440" w:right="1077" w:bottom="1440" w:left="1077" w:header="720" w:footer="720" w:gutter="0"/>
          <w:cols w:space="720"/>
        </w:sectPr>
      </w:pPr>
    </w:p>
    <w:p w14:paraId="64DAF3BC" w14:textId="77777777" w:rsidR="003F1F88" w:rsidRPr="005669CE" w:rsidRDefault="00DB0A1C" w:rsidP="00C357A3">
      <w:pPr>
        <w:pStyle w:val="Heading2"/>
        <w:ind w:left="0"/>
        <w:rPr>
          <w:rStyle w:val="Heading1Char"/>
          <w:color w:val="17365D"/>
          <w:shd w:val="clear" w:color="auto" w:fill="B6DDE8" w:themeFill="accent5" w:themeFillTint="66"/>
        </w:rPr>
      </w:pPr>
      <w:bookmarkStart w:id="56" w:name="_bookmark24"/>
      <w:bookmarkStart w:id="57" w:name="_Toc181011883"/>
      <w:bookmarkEnd w:id="56"/>
      <w:r w:rsidRPr="005669CE">
        <w:rPr>
          <w:lang w:val="fr-FR"/>
        </w:rPr>
        <w:lastRenderedPageBreak/>
        <w:t>Feuille de décompte des selles (papier)</w:t>
      </w:r>
      <w:bookmarkEnd w:id="57"/>
    </w:p>
    <w:p w14:paraId="3EC55587" w14:textId="3D5C8A98" w:rsidR="00C3061B" w:rsidRPr="005669CE" w:rsidRDefault="00DB0A1C" w:rsidP="00D936C5">
      <w:pPr>
        <w:tabs>
          <w:tab w:val="left" w:pos="4514"/>
          <w:tab w:val="left" w:pos="5160"/>
          <w:tab w:val="left" w:pos="8331"/>
        </w:tabs>
        <w:spacing w:before="120"/>
        <w:jc w:val="both"/>
        <w:rPr>
          <w:rFonts w:asciiTheme="minorHAnsi" w:hAnsiTheme="minorHAnsi" w:cstheme="minorHAnsi"/>
          <w:b/>
        </w:rPr>
      </w:pPr>
      <w:r w:rsidRPr="005669CE">
        <w:rPr>
          <w:rFonts w:cstheme="minorHAnsi"/>
          <w:b/>
          <w:bCs/>
          <w:lang w:val="fr-FR"/>
        </w:rPr>
        <w:t xml:space="preserve">Nom de l’UEP : </w:t>
      </w:r>
      <w:r w:rsidR="00D936C5" w:rsidRPr="00D936C5">
        <w:rPr>
          <w:rFonts w:cstheme="minorHAnsi"/>
          <w:b/>
          <w:bCs/>
          <w:u w:val="thick"/>
        </w:rPr>
        <w:tab/>
      </w:r>
      <w:r w:rsidR="00D936C5" w:rsidRPr="00D936C5">
        <w:rPr>
          <w:rFonts w:cstheme="minorHAnsi"/>
          <w:b/>
          <w:bCs/>
        </w:rPr>
        <w:tab/>
      </w:r>
      <w:proofErr w:type="gramStart"/>
      <w:r w:rsidR="00D936C5" w:rsidRPr="00D936C5">
        <w:rPr>
          <w:rFonts w:cstheme="minorHAnsi"/>
          <w:b/>
          <w:bCs/>
        </w:rPr>
        <w:t>Date:</w:t>
      </w:r>
      <w:proofErr w:type="gramEnd"/>
      <w:r w:rsidR="00D936C5" w:rsidRPr="00D936C5">
        <w:rPr>
          <w:rFonts w:cstheme="minorHAnsi"/>
          <w:b/>
          <w:bCs/>
          <w:u w:val="thick"/>
        </w:rPr>
        <w:tab/>
      </w:r>
    </w:p>
    <w:p w14:paraId="336EFAE7" w14:textId="5EF3B3B3" w:rsidR="00C3061B" w:rsidRPr="005669CE" w:rsidRDefault="00DB0A1C" w:rsidP="00D936C5">
      <w:pPr>
        <w:tabs>
          <w:tab w:val="left" w:pos="4379"/>
          <w:tab w:val="left" w:pos="8952"/>
        </w:tabs>
        <w:spacing w:before="180"/>
        <w:jc w:val="both"/>
        <w:rPr>
          <w:rFonts w:asciiTheme="minorHAnsi" w:hAnsiTheme="minorHAnsi" w:cstheme="minorHAnsi"/>
          <w:b/>
        </w:rPr>
      </w:pPr>
      <w:r w:rsidRPr="005669CE">
        <w:rPr>
          <w:rFonts w:cstheme="minorHAnsi"/>
          <w:b/>
          <w:bCs/>
          <w:lang w:val="fr-FR"/>
        </w:rPr>
        <w:t xml:space="preserve">Code du district : </w:t>
      </w:r>
      <w:r w:rsidR="00D936C5" w:rsidRPr="00D936C5">
        <w:rPr>
          <w:rFonts w:cstheme="minorHAnsi"/>
          <w:b/>
          <w:bCs/>
          <w:u w:val="thick"/>
        </w:rPr>
        <w:tab/>
      </w:r>
      <w:r w:rsidRPr="005669CE">
        <w:rPr>
          <w:rFonts w:cstheme="minorHAnsi"/>
          <w:b/>
          <w:bCs/>
          <w:spacing w:val="80"/>
          <w:lang w:val="fr-FR"/>
        </w:rPr>
        <w:t xml:space="preserve"> </w:t>
      </w:r>
      <w:r w:rsidRPr="00D936C5">
        <w:rPr>
          <w:rFonts w:cstheme="minorHAnsi"/>
          <w:b/>
          <w:bCs/>
          <w:lang w:val="fr-FR"/>
        </w:rPr>
        <w:t>Code de l’UEP :</w:t>
      </w:r>
      <w:r w:rsidRPr="005669CE">
        <w:rPr>
          <w:rFonts w:cstheme="minorHAnsi"/>
          <w:b/>
          <w:bCs/>
          <w:spacing w:val="80"/>
          <w:lang w:val="fr-FR"/>
        </w:rPr>
        <w:t xml:space="preserve"> </w:t>
      </w:r>
      <w:r w:rsidR="00D936C5" w:rsidRPr="00D936C5">
        <w:rPr>
          <w:rFonts w:cstheme="minorHAnsi"/>
          <w:b/>
          <w:bCs/>
          <w:spacing w:val="80"/>
          <w:u w:val="thick"/>
        </w:rPr>
        <w:tab/>
      </w:r>
    </w:p>
    <w:p w14:paraId="439C481C" w14:textId="77777777" w:rsidR="000F1FC4" w:rsidRPr="005669CE" w:rsidRDefault="000F1FC4" w:rsidP="00C357A3">
      <w:pPr>
        <w:spacing w:line="360" w:lineRule="auto"/>
        <w:rPr>
          <w:rFonts w:asciiTheme="minorHAnsi" w:hAnsiTheme="minorHAnsi" w:cstheme="minorHAnsi"/>
        </w:rPr>
      </w:pPr>
    </w:p>
    <w:p w14:paraId="5D872BFE" w14:textId="77777777" w:rsidR="003F1F88" w:rsidRPr="005669CE" w:rsidRDefault="00DB0A1C" w:rsidP="00C357A3">
      <w:pPr>
        <w:spacing w:line="360" w:lineRule="auto"/>
        <w:rPr>
          <w:rFonts w:asciiTheme="minorHAnsi" w:hAnsiTheme="minorHAnsi" w:cstheme="minorHAnsi"/>
        </w:rPr>
      </w:pPr>
      <w:proofErr w:type="gramStart"/>
      <w:r w:rsidRPr="005669CE">
        <w:rPr>
          <w:rFonts w:asciiTheme="minorHAnsi" w:hAnsiTheme="minorHAnsi" w:cstheme="minorHAnsi"/>
          <w:lang w:val="fr-FR"/>
        </w:rPr>
        <w:t>page</w:t>
      </w:r>
      <w:proofErr w:type="gramEnd"/>
      <w:r w:rsidRPr="005669CE">
        <w:rPr>
          <w:rFonts w:asciiTheme="minorHAnsi" w:hAnsiTheme="minorHAnsi" w:cstheme="minorHAnsi"/>
          <w:lang w:val="fr-FR"/>
        </w:rPr>
        <w:t xml:space="preserve"> ___ sur ___</w:t>
      </w:r>
    </w:p>
    <w:p w14:paraId="25AF969A" w14:textId="77777777" w:rsidR="003F1F88" w:rsidRPr="005669CE" w:rsidRDefault="00DB0A1C" w:rsidP="000F1FC4">
      <w:pPr>
        <w:spacing w:line="360" w:lineRule="auto"/>
        <w:rPr>
          <w:rFonts w:asciiTheme="minorHAnsi" w:hAnsiTheme="minorHAnsi" w:cstheme="minorHAnsi"/>
          <w:b/>
        </w:rPr>
      </w:pPr>
      <w:r w:rsidRPr="005669CE">
        <w:rPr>
          <w:rFonts w:asciiTheme="minorHAnsi" w:hAnsiTheme="minorHAnsi" w:cstheme="minorHAnsi"/>
          <w:lang w:val="fr-FR"/>
        </w:rPr>
        <w:t xml:space="preserve">Diapositives (entourer) :  </w:t>
      </w:r>
      <w:r w:rsidRPr="005669CE">
        <w:rPr>
          <w:rFonts w:asciiTheme="minorHAnsi" w:hAnsiTheme="minorHAnsi" w:cstheme="minorHAnsi"/>
          <w:b/>
          <w:bCs/>
          <w:lang w:val="fr-FR"/>
        </w:rPr>
        <w:t xml:space="preserve">A / B </w:t>
      </w:r>
      <w:r w:rsidRPr="005669CE">
        <w:rPr>
          <w:rFonts w:asciiTheme="minorHAnsi" w:hAnsiTheme="minorHAnsi" w:cstheme="minorHAnsi"/>
          <w:lang w:val="fr-FR"/>
        </w:rPr>
        <w:t>Lecteur (nom) __________________ Date / /</w:t>
      </w:r>
      <w:r w:rsidRPr="005669CE">
        <w:rPr>
          <w:rFonts w:asciiTheme="minorHAnsi" w:hAnsiTheme="minorHAnsi" w:cstheme="minorHAnsi"/>
          <w:b/>
          <w:bCs/>
          <w:lang w:val="fr-FR"/>
        </w:rPr>
        <w:t xml:space="preserve"> 202 </w:t>
      </w:r>
    </w:p>
    <w:p w14:paraId="5C3157ED" w14:textId="77777777" w:rsidR="007F7ADD" w:rsidRPr="005669CE" w:rsidRDefault="007F7ADD" w:rsidP="003F1F88">
      <w:pPr>
        <w:spacing w:line="360" w:lineRule="auto"/>
        <w:rPr>
          <w:rFonts w:ascii="Verdana" w:hAnsi="Verdana"/>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61"/>
        <w:gridCol w:w="2976"/>
        <w:gridCol w:w="885"/>
        <w:gridCol w:w="887"/>
        <w:gridCol w:w="887"/>
        <w:gridCol w:w="887"/>
        <w:gridCol w:w="2993"/>
      </w:tblGrid>
      <w:tr w:rsidR="000C10E3" w14:paraId="33C84569" w14:textId="77777777" w:rsidTr="00F32013">
        <w:trPr>
          <w:trHeight w:val="427"/>
          <w:jc w:val="center"/>
        </w:trPr>
        <w:tc>
          <w:tcPr>
            <w:tcW w:w="278" w:type="pct"/>
            <w:shd w:val="clear" w:color="auto" w:fill="auto"/>
            <w:vAlign w:val="center"/>
            <w:hideMark/>
          </w:tcPr>
          <w:p w14:paraId="6C0711F6" w14:textId="77777777" w:rsidR="00661606" w:rsidRPr="005669CE" w:rsidRDefault="00DB0A1C" w:rsidP="00784BFC">
            <w:pPr>
              <w:rPr>
                <w:rFonts w:asciiTheme="minorHAnsi" w:hAnsiTheme="minorHAnsi" w:cstheme="minorHAnsi"/>
                <w:b/>
              </w:rPr>
            </w:pPr>
            <w:r w:rsidRPr="005669CE">
              <w:rPr>
                <w:rFonts w:cstheme="minorHAnsi"/>
                <w:b/>
                <w:bCs/>
                <w:lang w:val="fr-FR"/>
              </w:rPr>
              <w:t>#</w:t>
            </w:r>
          </w:p>
        </w:tc>
        <w:tc>
          <w:tcPr>
            <w:tcW w:w="1477" w:type="pct"/>
            <w:shd w:val="clear" w:color="auto" w:fill="auto"/>
            <w:vAlign w:val="center"/>
            <w:hideMark/>
          </w:tcPr>
          <w:p w14:paraId="6648F5AA" w14:textId="77777777" w:rsidR="00661606" w:rsidRPr="005669CE" w:rsidRDefault="00DB0A1C" w:rsidP="00784BFC">
            <w:pPr>
              <w:rPr>
                <w:rFonts w:asciiTheme="minorHAnsi" w:hAnsiTheme="minorHAnsi" w:cstheme="minorHAnsi"/>
                <w:b/>
              </w:rPr>
            </w:pPr>
            <w:r w:rsidRPr="005669CE">
              <w:rPr>
                <w:rFonts w:cstheme="minorHAnsi"/>
                <w:b/>
                <w:bCs/>
                <w:lang w:val="fr-FR"/>
              </w:rPr>
              <w:t>ID UNIQUE</w:t>
            </w:r>
          </w:p>
        </w:tc>
        <w:tc>
          <w:tcPr>
            <w:tcW w:w="439" w:type="pct"/>
            <w:shd w:val="clear" w:color="auto" w:fill="auto"/>
            <w:vAlign w:val="center"/>
            <w:hideMark/>
          </w:tcPr>
          <w:p w14:paraId="180558CC" w14:textId="77777777" w:rsidR="00661606" w:rsidRPr="005669CE" w:rsidRDefault="00DB0A1C" w:rsidP="00784BFC">
            <w:pPr>
              <w:rPr>
                <w:rFonts w:asciiTheme="minorHAnsi" w:hAnsiTheme="minorHAnsi" w:cstheme="minorHAnsi"/>
                <w:b/>
              </w:rPr>
            </w:pPr>
            <w:r w:rsidRPr="005669CE">
              <w:rPr>
                <w:rFonts w:cstheme="minorHAnsi"/>
                <w:b/>
                <w:bCs/>
                <w:lang w:val="fr-FR"/>
              </w:rPr>
              <w:t>AS</w:t>
            </w:r>
          </w:p>
        </w:tc>
        <w:tc>
          <w:tcPr>
            <w:tcW w:w="440" w:type="pct"/>
            <w:shd w:val="clear" w:color="auto" w:fill="auto"/>
            <w:vAlign w:val="center"/>
            <w:hideMark/>
          </w:tcPr>
          <w:p w14:paraId="202C3C04" w14:textId="77777777" w:rsidR="00661606" w:rsidRPr="005669CE" w:rsidRDefault="00DB0A1C" w:rsidP="00784BFC">
            <w:pPr>
              <w:rPr>
                <w:rFonts w:asciiTheme="minorHAnsi" w:hAnsiTheme="minorHAnsi" w:cstheme="minorHAnsi"/>
                <w:b/>
              </w:rPr>
            </w:pPr>
            <w:r w:rsidRPr="005669CE">
              <w:rPr>
                <w:rFonts w:cstheme="minorHAnsi"/>
                <w:b/>
                <w:bCs/>
                <w:lang w:val="fr-FR"/>
              </w:rPr>
              <w:t>HK</w:t>
            </w:r>
          </w:p>
        </w:tc>
        <w:tc>
          <w:tcPr>
            <w:tcW w:w="440" w:type="pct"/>
            <w:shd w:val="clear" w:color="auto" w:fill="auto"/>
            <w:vAlign w:val="center"/>
            <w:hideMark/>
          </w:tcPr>
          <w:p w14:paraId="5C0717E1" w14:textId="77777777" w:rsidR="00661606" w:rsidRPr="005669CE" w:rsidRDefault="00DB0A1C" w:rsidP="00784BFC">
            <w:pPr>
              <w:rPr>
                <w:rFonts w:asciiTheme="minorHAnsi" w:hAnsiTheme="minorHAnsi" w:cstheme="minorHAnsi"/>
                <w:b/>
              </w:rPr>
            </w:pPr>
            <w:r w:rsidRPr="005669CE">
              <w:rPr>
                <w:rFonts w:cstheme="minorHAnsi"/>
                <w:b/>
                <w:bCs/>
                <w:lang w:val="fr-FR"/>
              </w:rPr>
              <w:t>TR</w:t>
            </w:r>
          </w:p>
        </w:tc>
        <w:tc>
          <w:tcPr>
            <w:tcW w:w="440" w:type="pct"/>
            <w:shd w:val="clear" w:color="auto" w:fill="auto"/>
            <w:vAlign w:val="center"/>
            <w:hideMark/>
          </w:tcPr>
          <w:p w14:paraId="172BF5F2" w14:textId="77777777" w:rsidR="00661606" w:rsidRPr="005669CE" w:rsidRDefault="00DB0A1C" w:rsidP="00784BFC">
            <w:pPr>
              <w:rPr>
                <w:rFonts w:asciiTheme="minorHAnsi" w:hAnsiTheme="minorHAnsi" w:cstheme="minorHAnsi"/>
                <w:b/>
              </w:rPr>
            </w:pPr>
            <w:r w:rsidRPr="005669CE">
              <w:rPr>
                <w:rFonts w:cstheme="minorHAnsi"/>
                <w:b/>
                <w:bCs/>
                <w:lang w:val="fr-FR"/>
              </w:rPr>
              <w:t>SM</w:t>
            </w:r>
          </w:p>
        </w:tc>
        <w:tc>
          <w:tcPr>
            <w:tcW w:w="1485" w:type="pct"/>
            <w:shd w:val="clear" w:color="auto" w:fill="auto"/>
            <w:vAlign w:val="center"/>
            <w:hideMark/>
          </w:tcPr>
          <w:p w14:paraId="0C870B46" w14:textId="77777777" w:rsidR="00661606" w:rsidRPr="005669CE" w:rsidRDefault="00DB0A1C" w:rsidP="00784BFC">
            <w:pPr>
              <w:rPr>
                <w:rFonts w:asciiTheme="minorHAnsi" w:hAnsiTheme="minorHAnsi" w:cstheme="minorHAnsi"/>
                <w:b/>
              </w:rPr>
            </w:pPr>
            <w:r w:rsidRPr="005669CE">
              <w:rPr>
                <w:rFonts w:cstheme="minorHAnsi"/>
                <w:b/>
                <w:bCs/>
                <w:lang w:val="fr-FR"/>
              </w:rPr>
              <w:t>Remarques</w:t>
            </w:r>
          </w:p>
        </w:tc>
      </w:tr>
      <w:tr w:rsidR="000C10E3" w14:paraId="772A454E" w14:textId="77777777" w:rsidTr="00F32013">
        <w:trPr>
          <w:trHeight w:val="539"/>
          <w:jc w:val="center"/>
        </w:trPr>
        <w:tc>
          <w:tcPr>
            <w:tcW w:w="278" w:type="pct"/>
            <w:shd w:val="clear" w:color="auto" w:fill="auto"/>
            <w:vAlign w:val="center"/>
            <w:hideMark/>
          </w:tcPr>
          <w:p w14:paraId="251BA3D7"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1</w:t>
            </w:r>
          </w:p>
        </w:tc>
        <w:tc>
          <w:tcPr>
            <w:tcW w:w="1477" w:type="pct"/>
            <w:shd w:val="clear" w:color="auto" w:fill="auto"/>
            <w:vAlign w:val="center"/>
            <w:hideMark/>
          </w:tcPr>
          <w:p w14:paraId="306928A7"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4D495553"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115B3602"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7333B0EE"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2117A23C"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22B7905F" w14:textId="77777777" w:rsidR="00661606" w:rsidRPr="005669CE" w:rsidRDefault="00661606" w:rsidP="00150E68">
            <w:pPr>
              <w:spacing w:before="240"/>
              <w:rPr>
                <w:rFonts w:asciiTheme="minorHAnsi" w:hAnsiTheme="minorHAnsi" w:cstheme="minorHAnsi"/>
              </w:rPr>
            </w:pPr>
          </w:p>
        </w:tc>
      </w:tr>
      <w:tr w:rsidR="000C10E3" w14:paraId="2467F657" w14:textId="77777777" w:rsidTr="00F32013">
        <w:trPr>
          <w:trHeight w:val="539"/>
          <w:jc w:val="center"/>
        </w:trPr>
        <w:tc>
          <w:tcPr>
            <w:tcW w:w="278" w:type="pct"/>
            <w:shd w:val="clear" w:color="auto" w:fill="auto"/>
            <w:vAlign w:val="center"/>
            <w:hideMark/>
          </w:tcPr>
          <w:p w14:paraId="2BB1B567"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2</w:t>
            </w:r>
          </w:p>
        </w:tc>
        <w:tc>
          <w:tcPr>
            <w:tcW w:w="1477" w:type="pct"/>
            <w:shd w:val="clear" w:color="auto" w:fill="auto"/>
            <w:vAlign w:val="center"/>
            <w:hideMark/>
          </w:tcPr>
          <w:p w14:paraId="5B88F1D4"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2FB241CF"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64937C56"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0915DCCB"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26C3FA4A"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4765B89B" w14:textId="77777777" w:rsidR="00661606" w:rsidRPr="005669CE" w:rsidRDefault="00661606" w:rsidP="00150E68">
            <w:pPr>
              <w:spacing w:before="240"/>
              <w:rPr>
                <w:rFonts w:asciiTheme="minorHAnsi" w:hAnsiTheme="minorHAnsi" w:cstheme="minorHAnsi"/>
              </w:rPr>
            </w:pPr>
          </w:p>
        </w:tc>
      </w:tr>
      <w:tr w:rsidR="000C10E3" w14:paraId="27367853" w14:textId="77777777" w:rsidTr="00F32013">
        <w:trPr>
          <w:trHeight w:val="539"/>
          <w:jc w:val="center"/>
        </w:trPr>
        <w:tc>
          <w:tcPr>
            <w:tcW w:w="278" w:type="pct"/>
            <w:shd w:val="clear" w:color="auto" w:fill="auto"/>
            <w:vAlign w:val="center"/>
            <w:hideMark/>
          </w:tcPr>
          <w:p w14:paraId="43622DE3"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3</w:t>
            </w:r>
          </w:p>
        </w:tc>
        <w:tc>
          <w:tcPr>
            <w:tcW w:w="1477" w:type="pct"/>
            <w:shd w:val="clear" w:color="auto" w:fill="auto"/>
            <w:vAlign w:val="center"/>
            <w:hideMark/>
          </w:tcPr>
          <w:p w14:paraId="288745D7"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688F23EB"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5661CDE7"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01250777"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049C0CF7"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71AA2410" w14:textId="77777777" w:rsidR="00661606" w:rsidRPr="005669CE" w:rsidRDefault="00661606" w:rsidP="00150E68">
            <w:pPr>
              <w:spacing w:before="240"/>
              <w:rPr>
                <w:rFonts w:asciiTheme="minorHAnsi" w:hAnsiTheme="minorHAnsi" w:cstheme="minorHAnsi"/>
              </w:rPr>
            </w:pPr>
          </w:p>
        </w:tc>
      </w:tr>
      <w:tr w:rsidR="000C10E3" w14:paraId="68BFDCFA" w14:textId="77777777" w:rsidTr="00F32013">
        <w:trPr>
          <w:trHeight w:val="539"/>
          <w:jc w:val="center"/>
        </w:trPr>
        <w:tc>
          <w:tcPr>
            <w:tcW w:w="278" w:type="pct"/>
            <w:shd w:val="clear" w:color="auto" w:fill="auto"/>
            <w:vAlign w:val="center"/>
            <w:hideMark/>
          </w:tcPr>
          <w:p w14:paraId="6FB2E223"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4</w:t>
            </w:r>
          </w:p>
        </w:tc>
        <w:tc>
          <w:tcPr>
            <w:tcW w:w="1477" w:type="pct"/>
            <w:shd w:val="clear" w:color="auto" w:fill="auto"/>
            <w:vAlign w:val="center"/>
            <w:hideMark/>
          </w:tcPr>
          <w:p w14:paraId="3C9A5EB0"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092F5717"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782CB5F7"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664DAFCD"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4D5E3B0A"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330BDA3B" w14:textId="77777777" w:rsidR="00661606" w:rsidRPr="005669CE" w:rsidRDefault="00661606" w:rsidP="00150E68">
            <w:pPr>
              <w:spacing w:before="240"/>
              <w:rPr>
                <w:rFonts w:asciiTheme="minorHAnsi" w:hAnsiTheme="minorHAnsi" w:cstheme="minorHAnsi"/>
              </w:rPr>
            </w:pPr>
          </w:p>
        </w:tc>
      </w:tr>
      <w:tr w:rsidR="000C10E3" w14:paraId="35565C6E" w14:textId="77777777" w:rsidTr="00F32013">
        <w:trPr>
          <w:trHeight w:val="539"/>
          <w:jc w:val="center"/>
        </w:trPr>
        <w:tc>
          <w:tcPr>
            <w:tcW w:w="278" w:type="pct"/>
            <w:shd w:val="clear" w:color="auto" w:fill="auto"/>
            <w:vAlign w:val="center"/>
            <w:hideMark/>
          </w:tcPr>
          <w:p w14:paraId="238D50F8"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5</w:t>
            </w:r>
          </w:p>
        </w:tc>
        <w:tc>
          <w:tcPr>
            <w:tcW w:w="1477" w:type="pct"/>
            <w:shd w:val="clear" w:color="auto" w:fill="auto"/>
            <w:vAlign w:val="center"/>
            <w:hideMark/>
          </w:tcPr>
          <w:p w14:paraId="7F67EE04"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51230AEF"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486759DA"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3FEED0AB"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47C80D1B"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60ABAE9B" w14:textId="77777777" w:rsidR="00661606" w:rsidRPr="005669CE" w:rsidRDefault="00661606" w:rsidP="00150E68">
            <w:pPr>
              <w:spacing w:before="240"/>
              <w:rPr>
                <w:rFonts w:asciiTheme="minorHAnsi" w:hAnsiTheme="minorHAnsi" w:cstheme="minorHAnsi"/>
              </w:rPr>
            </w:pPr>
          </w:p>
        </w:tc>
      </w:tr>
      <w:tr w:rsidR="000C10E3" w14:paraId="61A07CFE" w14:textId="77777777" w:rsidTr="00F32013">
        <w:trPr>
          <w:trHeight w:val="539"/>
          <w:jc w:val="center"/>
        </w:trPr>
        <w:tc>
          <w:tcPr>
            <w:tcW w:w="278" w:type="pct"/>
            <w:shd w:val="clear" w:color="auto" w:fill="auto"/>
            <w:vAlign w:val="center"/>
            <w:hideMark/>
          </w:tcPr>
          <w:p w14:paraId="4D24C5EC"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6</w:t>
            </w:r>
          </w:p>
        </w:tc>
        <w:tc>
          <w:tcPr>
            <w:tcW w:w="1477" w:type="pct"/>
            <w:shd w:val="clear" w:color="auto" w:fill="auto"/>
            <w:vAlign w:val="center"/>
            <w:hideMark/>
          </w:tcPr>
          <w:p w14:paraId="16C9C009"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54D8CFD1"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1CA967C2"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29FE475C"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1B044BA6"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0ED6CDC3" w14:textId="77777777" w:rsidR="00661606" w:rsidRPr="005669CE" w:rsidRDefault="00661606" w:rsidP="00150E68">
            <w:pPr>
              <w:spacing w:before="240"/>
              <w:rPr>
                <w:rFonts w:asciiTheme="minorHAnsi" w:hAnsiTheme="minorHAnsi" w:cstheme="minorHAnsi"/>
              </w:rPr>
            </w:pPr>
          </w:p>
        </w:tc>
      </w:tr>
      <w:tr w:rsidR="000C10E3" w14:paraId="35CE3693" w14:textId="77777777" w:rsidTr="00F32013">
        <w:trPr>
          <w:trHeight w:val="539"/>
          <w:jc w:val="center"/>
        </w:trPr>
        <w:tc>
          <w:tcPr>
            <w:tcW w:w="278" w:type="pct"/>
            <w:shd w:val="clear" w:color="auto" w:fill="auto"/>
            <w:vAlign w:val="center"/>
            <w:hideMark/>
          </w:tcPr>
          <w:p w14:paraId="64E7FD3B"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7</w:t>
            </w:r>
          </w:p>
        </w:tc>
        <w:tc>
          <w:tcPr>
            <w:tcW w:w="1477" w:type="pct"/>
            <w:shd w:val="clear" w:color="auto" w:fill="auto"/>
            <w:vAlign w:val="center"/>
            <w:hideMark/>
          </w:tcPr>
          <w:p w14:paraId="32EA9BEC"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6D6C7E41"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7634756D"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5589D381"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2383CDE9"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127F3984" w14:textId="77777777" w:rsidR="00661606" w:rsidRPr="005669CE" w:rsidRDefault="00661606" w:rsidP="00150E68">
            <w:pPr>
              <w:spacing w:before="240"/>
              <w:rPr>
                <w:rFonts w:asciiTheme="minorHAnsi" w:hAnsiTheme="minorHAnsi" w:cstheme="minorHAnsi"/>
              </w:rPr>
            </w:pPr>
          </w:p>
        </w:tc>
      </w:tr>
      <w:tr w:rsidR="000C10E3" w14:paraId="3393A507" w14:textId="77777777" w:rsidTr="00F32013">
        <w:trPr>
          <w:trHeight w:val="539"/>
          <w:jc w:val="center"/>
        </w:trPr>
        <w:tc>
          <w:tcPr>
            <w:tcW w:w="278" w:type="pct"/>
            <w:shd w:val="clear" w:color="auto" w:fill="auto"/>
            <w:vAlign w:val="center"/>
            <w:hideMark/>
          </w:tcPr>
          <w:p w14:paraId="43107307"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8</w:t>
            </w:r>
          </w:p>
        </w:tc>
        <w:tc>
          <w:tcPr>
            <w:tcW w:w="1477" w:type="pct"/>
            <w:shd w:val="clear" w:color="auto" w:fill="auto"/>
            <w:vAlign w:val="center"/>
            <w:hideMark/>
          </w:tcPr>
          <w:p w14:paraId="6919B446"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1A25CE61"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376B16C3"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2255012C"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321AAFA8"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44D17C20" w14:textId="77777777" w:rsidR="00661606" w:rsidRPr="005669CE" w:rsidRDefault="00661606" w:rsidP="00150E68">
            <w:pPr>
              <w:spacing w:before="240"/>
              <w:rPr>
                <w:rFonts w:asciiTheme="minorHAnsi" w:hAnsiTheme="minorHAnsi" w:cstheme="minorHAnsi"/>
              </w:rPr>
            </w:pPr>
          </w:p>
        </w:tc>
      </w:tr>
      <w:tr w:rsidR="000C10E3" w14:paraId="3C615FDD" w14:textId="77777777" w:rsidTr="00F32013">
        <w:trPr>
          <w:trHeight w:val="539"/>
          <w:jc w:val="center"/>
        </w:trPr>
        <w:tc>
          <w:tcPr>
            <w:tcW w:w="278" w:type="pct"/>
            <w:shd w:val="clear" w:color="auto" w:fill="auto"/>
            <w:vAlign w:val="center"/>
            <w:hideMark/>
          </w:tcPr>
          <w:p w14:paraId="422EC95F"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9</w:t>
            </w:r>
          </w:p>
        </w:tc>
        <w:tc>
          <w:tcPr>
            <w:tcW w:w="1477" w:type="pct"/>
            <w:shd w:val="clear" w:color="auto" w:fill="auto"/>
            <w:vAlign w:val="center"/>
            <w:hideMark/>
          </w:tcPr>
          <w:p w14:paraId="17F01476"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704DA943"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6E636A98"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76FD41C6"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6CD1532C"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35709DC5" w14:textId="77777777" w:rsidR="00661606" w:rsidRPr="005669CE" w:rsidRDefault="00661606" w:rsidP="00150E68">
            <w:pPr>
              <w:spacing w:before="240"/>
              <w:rPr>
                <w:rFonts w:asciiTheme="minorHAnsi" w:hAnsiTheme="minorHAnsi" w:cstheme="minorHAnsi"/>
              </w:rPr>
            </w:pPr>
          </w:p>
        </w:tc>
      </w:tr>
      <w:tr w:rsidR="000C10E3" w14:paraId="7135F327" w14:textId="77777777" w:rsidTr="00F32013">
        <w:trPr>
          <w:trHeight w:val="539"/>
          <w:jc w:val="center"/>
        </w:trPr>
        <w:tc>
          <w:tcPr>
            <w:tcW w:w="278" w:type="pct"/>
            <w:shd w:val="clear" w:color="auto" w:fill="auto"/>
            <w:vAlign w:val="center"/>
            <w:hideMark/>
          </w:tcPr>
          <w:p w14:paraId="7EA77E31"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10</w:t>
            </w:r>
          </w:p>
        </w:tc>
        <w:tc>
          <w:tcPr>
            <w:tcW w:w="1477" w:type="pct"/>
            <w:shd w:val="clear" w:color="auto" w:fill="auto"/>
            <w:vAlign w:val="center"/>
            <w:hideMark/>
          </w:tcPr>
          <w:p w14:paraId="7AA126FE"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1361CE98"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2A3F5B7C"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5BA57BB6"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7687E2E2"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5617FC46" w14:textId="77777777" w:rsidR="00661606" w:rsidRPr="005669CE" w:rsidRDefault="00661606" w:rsidP="00150E68">
            <w:pPr>
              <w:spacing w:before="240"/>
              <w:rPr>
                <w:rFonts w:asciiTheme="minorHAnsi" w:hAnsiTheme="minorHAnsi" w:cstheme="minorHAnsi"/>
              </w:rPr>
            </w:pPr>
          </w:p>
        </w:tc>
      </w:tr>
      <w:tr w:rsidR="000C10E3" w14:paraId="1D120879" w14:textId="77777777" w:rsidTr="00F32013">
        <w:trPr>
          <w:trHeight w:val="539"/>
          <w:jc w:val="center"/>
        </w:trPr>
        <w:tc>
          <w:tcPr>
            <w:tcW w:w="278" w:type="pct"/>
            <w:shd w:val="clear" w:color="auto" w:fill="auto"/>
            <w:vAlign w:val="center"/>
            <w:hideMark/>
          </w:tcPr>
          <w:p w14:paraId="3DBE0452"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11</w:t>
            </w:r>
          </w:p>
        </w:tc>
        <w:tc>
          <w:tcPr>
            <w:tcW w:w="1477" w:type="pct"/>
            <w:shd w:val="clear" w:color="auto" w:fill="auto"/>
            <w:vAlign w:val="center"/>
            <w:hideMark/>
          </w:tcPr>
          <w:p w14:paraId="3DB8A005"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6EDFBEAC"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18A2CB0A"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38541088"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0C0AF957"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1C0C4078" w14:textId="77777777" w:rsidR="00661606" w:rsidRPr="005669CE" w:rsidRDefault="00661606" w:rsidP="00150E68">
            <w:pPr>
              <w:spacing w:before="240"/>
              <w:rPr>
                <w:rFonts w:asciiTheme="minorHAnsi" w:hAnsiTheme="minorHAnsi" w:cstheme="minorHAnsi"/>
              </w:rPr>
            </w:pPr>
          </w:p>
        </w:tc>
      </w:tr>
      <w:tr w:rsidR="000C10E3" w14:paraId="54960619" w14:textId="77777777" w:rsidTr="00F32013">
        <w:trPr>
          <w:trHeight w:val="539"/>
          <w:jc w:val="center"/>
        </w:trPr>
        <w:tc>
          <w:tcPr>
            <w:tcW w:w="278" w:type="pct"/>
            <w:shd w:val="clear" w:color="auto" w:fill="auto"/>
            <w:vAlign w:val="center"/>
            <w:hideMark/>
          </w:tcPr>
          <w:p w14:paraId="57DBCB5E"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12</w:t>
            </w:r>
          </w:p>
        </w:tc>
        <w:tc>
          <w:tcPr>
            <w:tcW w:w="1477" w:type="pct"/>
            <w:shd w:val="clear" w:color="auto" w:fill="auto"/>
            <w:vAlign w:val="center"/>
            <w:hideMark/>
          </w:tcPr>
          <w:p w14:paraId="2615C4F1"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2C312BB1"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7565EC7B"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622E19F3"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1DA67571"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15F434B0" w14:textId="77777777" w:rsidR="00661606" w:rsidRPr="005669CE" w:rsidRDefault="00661606" w:rsidP="00150E68">
            <w:pPr>
              <w:spacing w:before="240"/>
              <w:rPr>
                <w:rFonts w:asciiTheme="minorHAnsi" w:hAnsiTheme="minorHAnsi" w:cstheme="minorHAnsi"/>
              </w:rPr>
            </w:pPr>
          </w:p>
        </w:tc>
      </w:tr>
      <w:tr w:rsidR="000C10E3" w14:paraId="2A16BE77" w14:textId="77777777" w:rsidTr="00F32013">
        <w:trPr>
          <w:trHeight w:val="539"/>
          <w:jc w:val="center"/>
        </w:trPr>
        <w:tc>
          <w:tcPr>
            <w:tcW w:w="278" w:type="pct"/>
            <w:shd w:val="clear" w:color="auto" w:fill="auto"/>
            <w:vAlign w:val="center"/>
            <w:hideMark/>
          </w:tcPr>
          <w:p w14:paraId="1A74D5D6"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13</w:t>
            </w:r>
          </w:p>
        </w:tc>
        <w:tc>
          <w:tcPr>
            <w:tcW w:w="1477" w:type="pct"/>
            <w:shd w:val="clear" w:color="auto" w:fill="auto"/>
            <w:vAlign w:val="center"/>
            <w:hideMark/>
          </w:tcPr>
          <w:p w14:paraId="0F3C23AC"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1131486A"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2AB3D690"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503B13CD"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05736FE0"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38979408" w14:textId="77777777" w:rsidR="00661606" w:rsidRPr="005669CE" w:rsidRDefault="00661606" w:rsidP="00150E68">
            <w:pPr>
              <w:spacing w:before="240"/>
              <w:rPr>
                <w:rFonts w:asciiTheme="minorHAnsi" w:hAnsiTheme="minorHAnsi" w:cstheme="minorHAnsi"/>
              </w:rPr>
            </w:pPr>
          </w:p>
        </w:tc>
      </w:tr>
      <w:tr w:rsidR="000C10E3" w14:paraId="21640DC0" w14:textId="77777777" w:rsidTr="00F32013">
        <w:trPr>
          <w:trHeight w:val="539"/>
          <w:jc w:val="center"/>
        </w:trPr>
        <w:tc>
          <w:tcPr>
            <w:tcW w:w="278" w:type="pct"/>
            <w:shd w:val="clear" w:color="auto" w:fill="auto"/>
            <w:vAlign w:val="center"/>
            <w:hideMark/>
          </w:tcPr>
          <w:p w14:paraId="4595A09D" w14:textId="77777777" w:rsidR="00661606" w:rsidRPr="005669CE" w:rsidRDefault="00DB0A1C" w:rsidP="00150E68">
            <w:pPr>
              <w:spacing w:before="120" w:after="120"/>
              <w:rPr>
                <w:rFonts w:asciiTheme="minorHAnsi" w:hAnsiTheme="minorHAnsi" w:cstheme="minorHAnsi"/>
              </w:rPr>
            </w:pPr>
            <w:r w:rsidRPr="005669CE">
              <w:rPr>
                <w:rFonts w:asciiTheme="minorHAnsi" w:hAnsiTheme="minorHAnsi" w:cstheme="minorHAnsi"/>
                <w:lang w:val="fr-FR"/>
              </w:rPr>
              <w:t>14</w:t>
            </w:r>
          </w:p>
        </w:tc>
        <w:tc>
          <w:tcPr>
            <w:tcW w:w="1477" w:type="pct"/>
            <w:shd w:val="clear" w:color="auto" w:fill="auto"/>
            <w:vAlign w:val="center"/>
            <w:hideMark/>
          </w:tcPr>
          <w:p w14:paraId="183F8885" w14:textId="77777777" w:rsidR="00661606" w:rsidRPr="005669CE" w:rsidRDefault="00DB0A1C" w:rsidP="00150E68">
            <w:pPr>
              <w:rPr>
                <w:rFonts w:asciiTheme="minorHAnsi" w:hAnsiTheme="minorHAnsi" w:cstheme="minorHAnsi"/>
              </w:rPr>
            </w:pPr>
            <w:r w:rsidRPr="005669CE">
              <w:rPr>
                <w:rFonts w:ascii="Verdana" w:hAnsi="Verdana"/>
                <w:color w:val="808080"/>
                <w:sz w:val="21"/>
                <w:szCs w:val="21"/>
                <w:lang w:val="fr-FR"/>
              </w:rPr>
              <w:t>|__|__|__|__|__|__|__|</w:t>
            </w:r>
          </w:p>
        </w:tc>
        <w:tc>
          <w:tcPr>
            <w:tcW w:w="439" w:type="pct"/>
            <w:shd w:val="clear" w:color="auto" w:fill="auto"/>
            <w:vAlign w:val="center"/>
          </w:tcPr>
          <w:p w14:paraId="586515DB"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39044D99"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7521B4A8" w14:textId="77777777" w:rsidR="00661606" w:rsidRPr="005669CE" w:rsidRDefault="00661606" w:rsidP="00150E68">
            <w:pPr>
              <w:spacing w:before="240"/>
              <w:rPr>
                <w:rFonts w:asciiTheme="minorHAnsi" w:hAnsiTheme="minorHAnsi" w:cstheme="minorHAnsi"/>
              </w:rPr>
            </w:pPr>
          </w:p>
        </w:tc>
        <w:tc>
          <w:tcPr>
            <w:tcW w:w="440" w:type="pct"/>
            <w:shd w:val="clear" w:color="auto" w:fill="auto"/>
            <w:vAlign w:val="center"/>
          </w:tcPr>
          <w:p w14:paraId="291C7536" w14:textId="77777777" w:rsidR="00661606" w:rsidRPr="005669CE" w:rsidRDefault="00661606" w:rsidP="00150E68">
            <w:pPr>
              <w:spacing w:before="240"/>
              <w:rPr>
                <w:rFonts w:asciiTheme="minorHAnsi" w:hAnsiTheme="minorHAnsi" w:cstheme="minorHAnsi"/>
              </w:rPr>
            </w:pPr>
          </w:p>
        </w:tc>
        <w:tc>
          <w:tcPr>
            <w:tcW w:w="1485" w:type="pct"/>
            <w:shd w:val="clear" w:color="auto" w:fill="auto"/>
            <w:vAlign w:val="center"/>
          </w:tcPr>
          <w:p w14:paraId="43C96CE9" w14:textId="77777777" w:rsidR="00661606" w:rsidRPr="005669CE" w:rsidRDefault="00661606" w:rsidP="00150E68">
            <w:pPr>
              <w:spacing w:before="240"/>
              <w:rPr>
                <w:rFonts w:asciiTheme="minorHAnsi" w:hAnsiTheme="minorHAnsi" w:cstheme="minorHAnsi"/>
              </w:rPr>
            </w:pPr>
          </w:p>
        </w:tc>
      </w:tr>
      <w:tr w:rsidR="000C10E3" w14:paraId="55AE94A0" w14:textId="77777777" w:rsidTr="00F32013">
        <w:trPr>
          <w:trHeight w:val="539"/>
          <w:jc w:val="center"/>
        </w:trPr>
        <w:tc>
          <w:tcPr>
            <w:tcW w:w="278" w:type="pct"/>
            <w:shd w:val="clear" w:color="auto" w:fill="auto"/>
            <w:vAlign w:val="center"/>
          </w:tcPr>
          <w:p w14:paraId="16702FD5" w14:textId="77777777" w:rsidR="00661606" w:rsidRPr="005669CE" w:rsidRDefault="00DB0A1C" w:rsidP="00CD6AFB">
            <w:pPr>
              <w:spacing w:before="120" w:after="120"/>
              <w:rPr>
                <w:rFonts w:asciiTheme="minorHAnsi" w:hAnsiTheme="minorHAnsi" w:cstheme="minorHAnsi"/>
              </w:rPr>
            </w:pPr>
            <w:r w:rsidRPr="005669CE">
              <w:rPr>
                <w:lang w:val="fr-FR"/>
              </w:rPr>
              <w:t>15</w:t>
            </w:r>
          </w:p>
        </w:tc>
        <w:tc>
          <w:tcPr>
            <w:tcW w:w="1477" w:type="pct"/>
            <w:shd w:val="clear" w:color="auto" w:fill="auto"/>
            <w:vAlign w:val="center"/>
          </w:tcPr>
          <w:p w14:paraId="68E7B0E1" w14:textId="77777777" w:rsidR="00661606" w:rsidRPr="005669CE" w:rsidRDefault="00DB0A1C" w:rsidP="00CD6AFB">
            <w:pPr>
              <w:rPr>
                <w:rFonts w:ascii="Verdana" w:hAnsi="Verdana"/>
                <w:color w:val="808080"/>
                <w:sz w:val="21"/>
                <w:szCs w:val="21"/>
              </w:rPr>
            </w:pPr>
            <w:r w:rsidRPr="005669CE">
              <w:rPr>
                <w:rFonts w:ascii="Verdana" w:hAnsi="Verdana"/>
                <w:color w:val="808080"/>
                <w:sz w:val="21"/>
                <w:szCs w:val="21"/>
                <w:lang w:val="fr-FR"/>
              </w:rPr>
              <w:t>|__|__|__|__|__|__|__|</w:t>
            </w:r>
          </w:p>
        </w:tc>
        <w:tc>
          <w:tcPr>
            <w:tcW w:w="439" w:type="pct"/>
            <w:shd w:val="clear" w:color="auto" w:fill="auto"/>
            <w:vAlign w:val="center"/>
          </w:tcPr>
          <w:p w14:paraId="1B7991EA"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21DF803F"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1647BA3F"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58C0AFB1" w14:textId="77777777" w:rsidR="00661606" w:rsidRPr="005669CE" w:rsidRDefault="00661606" w:rsidP="00CD6AFB">
            <w:pPr>
              <w:spacing w:before="240"/>
              <w:rPr>
                <w:rFonts w:asciiTheme="minorHAnsi" w:hAnsiTheme="minorHAnsi" w:cstheme="minorHAnsi"/>
              </w:rPr>
            </w:pPr>
          </w:p>
        </w:tc>
        <w:tc>
          <w:tcPr>
            <w:tcW w:w="1485" w:type="pct"/>
            <w:shd w:val="clear" w:color="auto" w:fill="auto"/>
            <w:vAlign w:val="center"/>
          </w:tcPr>
          <w:p w14:paraId="73210AF7" w14:textId="77777777" w:rsidR="00661606" w:rsidRPr="005669CE" w:rsidRDefault="00661606" w:rsidP="00CD6AFB">
            <w:pPr>
              <w:spacing w:before="240"/>
              <w:rPr>
                <w:rFonts w:asciiTheme="minorHAnsi" w:hAnsiTheme="minorHAnsi" w:cstheme="minorHAnsi"/>
              </w:rPr>
            </w:pPr>
          </w:p>
        </w:tc>
      </w:tr>
      <w:tr w:rsidR="000C10E3" w14:paraId="383D54C7" w14:textId="77777777" w:rsidTr="00F32013">
        <w:trPr>
          <w:trHeight w:val="539"/>
          <w:jc w:val="center"/>
        </w:trPr>
        <w:tc>
          <w:tcPr>
            <w:tcW w:w="278" w:type="pct"/>
            <w:shd w:val="clear" w:color="auto" w:fill="auto"/>
            <w:vAlign w:val="center"/>
          </w:tcPr>
          <w:p w14:paraId="2588915F" w14:textId="77777777" w:rsidR="00661606" w:rsidRPr="005669CE" w:rsidRDefault="00DB0A1C" w:rsidP="00CD6AFB">
            <w:pPr>
              <w:spacing w:before="120" w:after="120"/>
              <w:rPr>
                <w:rFonts w:asciiTheme="minorHAnsi" w:hAnsiTheme="minorHAnsi" w:cstheme="minorHAnsi"/>
              </w:rPr>
            </w:pPr>
            <w:r w:rsidRPr="005669CE">
              <w:rPr>
                <w:lang w:val="fr-FR"/>
              </w:rPr>
              <w:t>16</w:t>
            </w:r>
          </w:p>
        </w:tc>
        <w:tc>
          <w:tcPr>
            <w:tcW w:w="1477" w:type="pct"/>
            <w:shd w:val="clear" w:color="auto" w:fill="auto"/>
            <w:vAlign w:val="center"/>
          </w:tcPr>
          <w:p w14:paraId="033DBBC9" w14:textId="77777777" w:rsidR="00661606" w:rsidRPr="005669CE" w:rsidRDefault="00DB0A1C" w:rsidP="00CD6AFB">
            <w:pPr>
              <w:rPr>
                <w:rFonts w:ascii="Verdana" w:hAnsi="Verdana"/>
                <w:color w:val="808080"/>
                <w:sz w:val="21"/>
                <w:szCs w:val="21"/>
              </w:rPr>
            </w:pPr>
            <w:r w:rsidRPr="005669CE">
              <w:rPr>
                <w:rFonts w:ascii="Verdana" w:hAnsi="Verdana"/>
                <w:color w:val="808080"/>
                <w:sz w:val="21"/>
                <w:szCs w:val="21"/>
                <w:lang w:val="fr-FR"/>
              </w:rPr>
              <w:t>|__|__|__|__|__|__|__|</w:t>
            </w:r>
          </w:p>
        </w:tc>
        <w:tc>
          <w:tcPr>
            <w:tcW w:w="439" w:type="pct"/>
            <w:shd w:val="clear" w:color="auto" w:fill="auto"/>
            <w:vAlign w:val="center"/>
          </w:tcPr>
          <w:p w14:paraId="7259D26D"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7AEA9994"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1512CEF6"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0D9A6127" w14:textId="77777777" w:rsidR="00661606" w:rsidRPr="005669CE" w:rsidRDefault="00661606" w:rsidP="00CD6AFB">
            <w:pPr>
              <w:spacing w:before="240"/>
              <w:rPr>
                <w:rFonts w:asciiTheme="minorHAnsi" w:hAnsiTheme="minorHAnsi" w:cstheme="minorHAnsi"/>
              </w:rPr>
            </w:pPr>
          </w:p>
        </w:tc>
        <w:tc>
          <w:tcPr>
            <w:tcW w:w="1485" w:type="pct"/>
            <w:shd w:val="clear" w:color="auto" w:fill="auto"/>
            <w:vAlign w:val="center"/>
          </w:tcPr>
          <w:p w14:paraId="768DC7F7" w14:textId="77777777" w:rsidR="00661606" w:rsidRPr="005669CE" w:rsidRDefault="00661606" w:rsidP="00CD6AFB">
            <w:pPr>
              <w:spacing w:before="240"/>
              <w:rPr>
                <w:rFonts w:asciiTheme="minorHAnsi" w:hAnsiTheme="minorHAnsi" w:cstheme="minorHAnsi"/>
              </w:rPr>
            </w:pPr>
          </w:p>
        </w:tc>
      </w:tr>
      <w:tr w:rsidR="000C10E3" w14:paraId="0EEE2BC8" w14:textId="77777777" w:rsidTr="00F32013">
        <w:trPr>
          <w:trHeight w:val="539"/>
          <w:jc w:val="center"/>
        </w:trPr>
        <w:tc>
          <w:tcPr>
            <w:tcW w:w="278" w:type="pct"/>
            <w:shd w:val="clear" w:color="auto" w:fill="auto"/>
            <w:vAlign w:val="center"/>
          </w:tcPr>
          <w:p w14:paraId="23EA2E7C" w14:textId="77777777" w:rsidR="00661606" w:rsidRPr="005669CE" w:rsidRDefault="00DB0A1C" w:rsidP="00CD6AFB">
            <w:pPr>
              <w:spacing w:before="120" w:after="120"/>
              <w:rPr>
                <w:rFonts w:asciiTheme="minorHAnsi" w:hAnsiTheme="minorHAnsi" w:cstheme="minorHAnsi"/>
              </w:rPr>
            </w:pPr>
            <w:r w:rsidRPr="005669CE">
              <w:rPr>
                <w:lang w:val="fr-FR"/>
              </w:rPr>
              <w:t>17</w:t>
            </w:r>
          </w:p>
        </w:tc>
        <w:tc>
          <w:tcPr>
            <w:tcW w:w="1477" w:type="pct"/>
            <w:shd w:val="clear" w:color="auto" w:fill="auto"/>
            <w:vAlign w:val="center"/>
          </w:tcPr>
          <w:p w14:paraId="6A061CDE" w14:textId="77777777" w:rsidR="00661606" w:rsidRPr="005669CE" w:rsidRDefault="00DB0A1C" w:rsidP="00CD6AFB">
            <w:pPr>
              <w:rPr>
                <w:rFonts w:ascii="Verdana" w:hAnsi="Verdana"/>
                <w:color w:val="808080"/>
                <w:sz w:val="21"/>
                <w:szCs w:val="21"/>
              </w:rPr>
            </w:pPr>
            <w:r w:rsidRPr="005669CE">
              <w:rPr>
                <w:rFonts w:ascii="Verdana" w:hAnsi="Verdana"/>
                <w:color w:val="808080"/>
                <w:sz w:val="21"/>
                <w:szCs w:val="21"/>
                <w:lang w:val="fr-FR"/>
              </w:rPr>
              <w:t>|__|__|__|__|__|__|__|</w:t>
            </w:r>
          </w:p>
        </w:tc>
        <w:tc>
          <w:tcPr>
            <w:tcW w:w="439" w:type="pct"/>
            <w:shd w:val="clear" w:color="auto" w:fill="auto"/>
            <w:vAlign w:val="center"/>
          </w:tcPr>
          <w:p w14:paraId="078E57FA"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7AD1D7CD"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5F50C656"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38D5BC9D" w14:textId="77777777" w:rsidR="00661606" w:rsidRPr="005669CE" w:rsidRDefault="00661606" w:rsidP="00CD6AFB">
            <w:pPr>
              <w:spacing w:before="240"/>
              <w:rPr>
                <w:rFonts w:asciiTheme="minorHAnsi" w:hAnsiTheme="minorHAnsi" w:cstheme="minorHAnsi"/>
              </w:rPr>
            </w:pPr>
          </w:p>
        </w:tc>
        <w:tc>
          <w:tcPr>
            <w:tcW w:w="1485" w:type="pct"/>
            <w:shd w:val="clear" w:color="auto" w:fill="auto"/>
            <w:vAlign w:val="center"/>
          </w:tcPr>
          <w:p w14:paraId="7AB1B809" w14:textId="77777777" w:rsidR="00661606" w:rsidRPr="005669CE" w:rsidRDefault="00661606" w:rsidP="00CD6AFB">
            <w:pPr>
              <w:spacing w:before="240"/>
              <w:rPr>
                <w:rFonts w:asciiTheme="minorHAnsi" w:hAnsiTheme="minorHAnsi" w:cstheme="minorHAnsi"/>
              </w:rPr>
            </w:pPr>
          </w:p>
        </w:tc>
      </w:tr>
      <w:tr w:rsidR="000C10E3" w14:paraId="3BC62520" w14:textId="77777777" w:rsidTr="00F32013">
        <w:trPr>
          <w:trHeight w:val="539"/>
          <w:jc w:val="center"/>
        </w:trPr>
        <w:tc>
          <w:tcPr>
            <w:tcW w:w="278" w:type="pct"/>
            <w:shd w:val="clear" w:color="auto" w:fill="auto"/>
            <w:vAlign w:val="center"/>
          </w:tcPr>
          <w:p w14:paraId="62124A88" w14:textId="77777777" w:rsidR="00661606" w:rsidRPr="005669CE" w:rsidRDefault="00DB0A1C" w:rsidP="00CD6AFB">
            <w:pPr>
              <w:spacing w:before="120" w:after="120"/>
              <w:rPr>
                <w:rFonts w:asciiTheme="minorHAnsi" w:hAnsiTheme="minorHAnsi" w:cstheme="minorHAnsi"/>
              </w:rPr>
            </w:pPr>
            <w:r w:rsidRPr="005669CE">
              <w:rPr>
                <w:lang w:val="fr-FR"/>
              </w:rPr>
              <w:lastRenderedPageBreak/>
              <w:t>18</w:t>
            </w:r>
          </w:p>
        </w:tc>
        <w:tc>
          <w:tcPr>
            <w:tcW w:w="1477" w:type="pct"/>
            <w:shd w:val="clear" w:color="auto" w:fill="auto"/>
            <w:vAlign w:val="center"/>
          </w:tcPr>
          <w:p w14:paraId="72C22A0E" w14:textId="77777777" w:rsidR="00661606" w:rsidRPr="005669CE" w:rsidRDefault="00DB0A1C" w:rsidP="00CD6AFB">
            <w:pPr>
              <w:rPr>
                <w:rFonts w:ascii="Verdana" w:hAnsi="Verdana"/>
                <w:color w:val="808080"/>
                <w:sz w:val="21"/>
                <w:szCs w:val="21"/>
              </w:rPr>
            </w:pPr>
            <w:r w:rsidRPr="005669CE">
              <w:rPr>
                <w:rFonts w:ascii="Verdana" w:hAnsi="Verdana"/>
                <w:color w:val="808080"/>
                <w:sz w:val="21"/>
                <w:szCs w:val="21"/>
                <w:lang w:val="fr-FR"/>
              </w:rPr>
              <w:t>|__|__|__|__|__|__|__|</w:t>
            </w:r>
          </w:p>
        </w:tc>
        <w:tc>
          <w:tcPr>
            <w:tcW w:w="439" w:type="pct"/>
            <w:shd w:val="clear" w:color="auto" w:fill="auto"/>
            <w:vAlign w:val="center"/>
          </w:tcPr>
          <w:p w14:paraId="1DD45572"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75DEC1B7"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7DBA785F"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75A8CE1E" w14:textId="77777777" w:rsidR="00661606" w:rsidRPr="005669CE" w:rsidRDefault="00661606" w:rsidP="00CD6AFB">
            <w:pPr>
              <w:spacing w:before="240"/>
              <w:rPr>
                <w:rFonts w:asciiTheme="minorHAnsi" w:hAnsiTheme="minorHAnsi" w:cstheme="minorHAnsi"/>
              </w:rPr>
            </w:pPr>
          </w:p>
        </w:tc>
        <w:tc>
          <w:tcPr>
            <w:tcW w:w="1485" w:type="pct"/>
            <w:shd w:val="clear" w:color="auto" w:fill="auto"/>
            <w:vAlign w:val="center"/>
          </w:tcPr>
          <w:p w14:paraId="67F84D9B" w14:textId="77777777" w:rsidR="00661606" w:rsidRPr="005669CE" w:rsidRDefault="00661606" w:rsidP="00CD6AFB">
            <w:pPr>
              <w:spacing w:before="240"/>
              <w:rPr>
                <w:rFonts w:asciiTheme="minorHAnsi" w:hAnsiTheme="minorHAnsi" w:cstheme="minorHAnsi"/>
              </w:rPr>
            </w:pPr>
          </w:p>
        </w:tc>
      </w:tr>
      <w:tr w:rsidR="000C10E3" w14:paraId="4452A8D5" w14:textId="77777777" w:rsidTr="00F32013">
        <w:trPr>
          <w:trHeight w:val="539"/>
          <w:jc w:val="center"/>
        </w:trPr>
        <w:tc>
          <w:tcPr>
            <w:tcW w:w="278" w:type="pct"/>
            <w:shd w:val="clear" w:color="auto" w:fill="auto"/>
            <w:vAlign w:val="center"/>
          </w:tcPr>
          <w:p w14:paraId="3B8B1318" w14:textId="77777777" w:rsidR="00661606" w:rsidRPr="005669CE" w:rsidRDefault="00DB0A1C" w:rsidP="00CD6AFB">
            <w:pPr>
              <w:spacing w:before="120" w:after="120"/>
              <w:rPr>
                <w:rFonts w:asciiTheme="minorHAnsi" w:hAnsiTheme="minorHAnsi" w:cstheme="minorHAnsi"/>
              </w:rPr>
            </w:pPr>
            <w:r w:rsidRPr="005669CE">
              <w:rPr>
                <w:lang w:val="fr-FR"/>
              </w:rPr>
              <w:t>19</w:t>
            </w:r>
          </w:p>
        </w:tc>
        <w:tc>
          <w:tcPr>
            <w:tcW w:w="1477" w:type="pct"/>
            <w:shd w:val="clear" w:color="auto" w:fill="auto"/>
            <w:vAlign w:val="center"/>
          </w:tcPr>
          <w:p w14:paraId="61684AB8" w14:textId="77777777" w:rsidR="00661606" w:rsidRPr="005669CE" w:rsidRDefault="00DB0A1C" w:rsidP="00CD6AFB">
            <w:pPr>
              <w:rPr>
                <w:rFonts w:ascii="Verdana" w:hAnsi="Verdana"/>
                <w:color w:val="808080"/>
                <w:sz w:val="21"/>
                <w:szCs w:val="21"/>
              </w:rPr>
            </w:pPr>
            <w:r w:rsidRPr="005669CE">
              <w:rPr>
                <w:rFonts w:ascii="Verdana" w:hAnsi="Verdana"/>
                <w:color w:val="808080"/>
                <w:sz w:val="21"/>
                <w:szCs w:val="21"/>
                <w:lang w:val="fr-FR"/>
              </w:rPr>
              <w:t>|__|__|__|__|__|__|__|</w:t>
            </w:r>
          </w:p>
        </w:tc>
        <w:tc>
          <w:tcPr>
            <w:tcW w:w="439" w:type="pct"/>
            <w:shd w:val="clear" w:color="auto" w:fill="auto"/>
            <w:vAlign w:val="center"/>
          </w:tcPr>
          <w:p w14:paraId="79076E39"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2D1C8ACD"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3B05AB52"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638A4240" w14:textId="77777777" w:rsidR="00661606" w:rsidRPr="005669CE" w:rsidRDefault="00661606" w:rsidP="00CD6AFB">
            <w:pPr>
              <w:spacing w:before="240"/>
              <w:rPr>
                <w:rFonts w:asciiTheme="minorHAnsi" w:hAnsiTheme="minorHAnsi" w:cstheme="minorHAnsi"/>
              </w:rPr>
            </w:pPr>
          </w:p>
        </w:tc>
        <w:tc>
          <w:tcPr>
            <w:tcW w:w="1485" w:type="pct"/>
            <w:shd w:val="clear" w:color="auto" w:fill="auto"/>
            <w:vAlign w:val="center"/>
          </w:tcPr>
          <w:p w14:paraId="4A1C8CCE" w14:textId="77777777" w:rsidR="00661606" w:rsidRPr="005669CE" w:rsidRDefault="00661606" w:rsidP="00CD6AFB">
            <w:pPr>
              <w:spacing w:before="240"/>
              <w:rPr>
                <w:rFonts w:asciiTheme="minorHAnsi" w:hAnsiTheme="minorHAnsi" w:cstheme="minorHAnsi"/>
              </w:rPr>
            </w:pPr>
          </w:p>
        </w:tc>
      </w:tr>
      <w:tr w:rsidR="000C10E3" w14:paraId="502EB4D7" w14:textId="77777777" w:rsidTr="00F32013">
        <w:trPr>
          <w:trHeight w:val="539"/>
          <w:jc w:val="center"/>
        </w:trPr>
        <w:tc>
          <w:tcPr>
            <w:tcW w:w="278" w:type="pct"/>
            <w:shd w:val="clear" w:color="auto" w:fill="auto"/>
            <w:vAlign w:val="center"/>
          </w:tcPr>
          <w:p w14:paraId="3223BFBB" w14:textId="77777777" w:rsidR="00661606" w:rsidRPr="005669CE" w:rsidRDefault="00DB0A1C" w:rsidP="00CD6AFB">
            <w:pPr>
              <w:spacing w:before="120" w:after="120"/>
              <w:rPr>
                <w:rFonts w:asciiTheme="minorHAnsi" w:hAnsiTheme="minorHAnsi" w:cstheme="minorHAnsi"/>
              </w:rPr>
            </w:pPr>
            <w:r w:rsidRPr="005669CE">
              <w:rPr>
                <w:lang w:val="fr-FR"/>
              </w:rPr>
              <w:t>20</w:t>
            </w:r>
          </w:p>
        </w:tc>
        <w:tc>
          <w:tcPr>
            <w:tcW w:w="1477" w:type="pct"/>
            <w:shd w:val="clear" w:color="auto" w:fill="auto"/>
            <w:vAlign w:val="center"/>
          </w:tcPr>
          <w:p w14:paraId="207F464C" w14:textId="77777777" w:rsidR="00661606" w:rsidRPr="005669CE" w:rsidRDefault="00DB0A1C" w:rsidP="00CD6AFB">
            <w:pPr>
              <w:rPr>
                <w:rFonts w:ascii="Verdana" w:hAnsi="Verdana"/>
                <w:color w:val="808080"/>
                <w:sz w:val="21"/>
                <w:szCs w:val="21"/>
              </w:rPr>
            </w:pPr>
            <w:r w:rsidRPr="005669CE">
              <w:rPr>
                <w:rFonts w:ascii="Verdana" w:hAnsi="Verdana"/>
                <w:color w:val="808080"/>
                <w:sz w:val="21"/>
                <w:szCs w:val="21"/>
                <w:lang w:val="fr-FR"/>
              </w:rPr>
              <w:t>|__|__|__|__|__|__|__|</w:t>
            </w:r>
          </w:p>
        </w:tc>
        <w:tc>
          <w:tcPr>
            <w:tcW w:w="439" w:type="pct"/>
            <w:shd w:val="clear" w:color="auto" w:fill="auto"/>
            <w:vAlign w:val="center"/>
          </w:tcPr>
          <w:p w14:paraId="4DB89186"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3CB39932"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5108F2FF"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5F5F06B0" w14:textId="77777777" w:rsidR="00661606" w:rsidRPr="005669CE" w:rsidRDefault="00661606" w:rsidP="00CD6AFB">
            <w:pPr>
              <w:spacing w:before="240"/>
              <w:rPr>
                <w:rFonts w:asciiTheme="minorHAnsi" w:hAnsiTheme="minorHAnsi" w:cstheme="minorHAnsi"/>
              </w:rPr>
            </w:pPr>
          </w:p>
        </w:tc>
        <w:tc>
          <w:tcPr>
            <w:tcW w:w="1485" w:type="pct"/>
            <w:shd w:val="clear" w:color="auto" w:fill="auto"/>
            <w:vAlign w:val="center"/>
          </w:tcPr>
          <w:p w14:paraId="5B9076E9" w14:textId="77777777" w:rsidR="00661606" w:rsidRPr="005669CE" w:rsidRDefault="00661606" w:rsidP="00CD6AFB">
            <w:pPr>
              <w:spacing w:before="240"/>
              <w:rPr>
                <w:rFonts w:asciiTheme="minorHAnsi" w:hAnsiTheme="minorHAnsi" w:cstheme="minorHAnsi"/>
              </w:rPr>
            </w:pPr>
          </w:p>
        </w:tc>
      </w:tr>
      <w:tr w:rsidR="000C10E3" w14:paraId="067B80E1" w14:textId="77777777" w:rsidTr="00F32013">
        <w:trPr>
          <w:trHeight w:val="539"/>
          <w:jc w:val="center"/>
        </w:trPr>
        <w:tc>
          <w:tcPr>
            <w:tcW w:w="278" w:type="pct"/>
            <w:shd w:val="clear" w:color="auto" w:fill="auto"/>
            <w:vAlign w:val="center"/>
          </w:tcPr>
          <w:p w14:paraId="2ADC8109" w14:textId="77777777" w:rsidR="00661606" w:rsidRPr="005669CE" w:rsidRDefault="00DB0A1C" w:rsidP="00CD6AFB">
            <w:pPr>
              <w:spacing w:before="120" w:after="120"/>
              <w:rPr>
                <w:rFonts w:asciiTheme="minorHAnsi" w:hAnsiTheme="minorHAnsi" w:cstheme="minorHAnsi"/>
              </w:rPr>
            </w:pPr>
            <w:r w:rsidRPr="005669CE">
              <w:rPr>
                <w:lang w:val="fr-FR"/>
              </w:rPr>
              <w:t>21</w:t>
            </w:r>
          </w:p>
        </w:tc>
        <w:tc>
          <w:tcPr>
            <w:tcW w:w="1477" w:type="pct"/>
            <w:shd w:val="clear" w:color="auto" w:fill="auto"/>
            <w:vAlign w:val="center"/>
          </w:tcPr>
          <w:p w14:paraId="684F0372" w14:textId="77777777" w:rsidR="00661606" w:rsidRPr="005669CE" w:rsidRDefault="00DB0A1C" w:rsidP="00CD6AFB">
            <w:pPr>
              <w:rPr>
                <w:rFonts w:ascii="Verdana" w:hAnsi="Verdana"/>
                <w:color w:val="808080"/>
                <w:sz w:val="21"/>
                <w:szCs w:val="21"/>
              </w:rPr>
            </w:pPr>
            <w:r w:rsidRPr="005669CE">
              <w:rPr>
                <w:rFonts w:ascii="Verdana" w:hAnsi="Verdana"/>
                <w:color w:val="808080"/>
                <w:sz w:val="21"/>
                <w:szCs w:val="21"/>
                <w:lang w:val="fr-FR"/>
              </w:rPr>
              <w:t>|__|__|__|__|__|__|__|</w:t>
            </w:r>
          </w:p>
        </w:tc>
        <w:tc>
          <w:tcPr>
            <w:tcW w:w="439" w:type="pct"/>
            <w:shd w:val="clear" w:color="auto" w:fill="auto"/>
            <w:vAlign w:val="center"/>
          </w:tcPr>
          <w:p w14:paraId="3A4409B3"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5F34F756"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0E0179E2"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69AD8C32" w14:textId="77777777" w:rsidR="00661606" w:rsidRPr="005669CE" w:rsidRDefault="00661606" w:rsidP="00CD6AFB">
            <w:pPr>
              <w:spacing w:before="240"/>
              <w:rPr>
                <w:rFonts w:asciiTheme="minorHAnsi" w:hAnsiTheme="minorHAnsi" w:cstheme="minorHAnsi"/>
              </w:rPr>
            </w:pPr>
          </w:p>
        </w:tc>
        <w:tc>
          <w:tcPr>
            <w:tcW w:w="1485" w:type="pct"/>
            <w:shd w:val="clear" w:color="auto" w:fill="auto"/>
            <w:vAlign w:val="center"/>
          </w:tcPr>
          <w:p w14:paraId="41E843BD" w14:textId="77777777" w:rsidR="00661606" w:rsidRPr="005669CE" w:rsidRDefault="00661606" w:rsidP="00CD6AFB">
            <w:pPr>
              <w:spacing w:before="240"/>
              <w:rPr>
                <w:rFonts w:asciiTheme="minorHAnsi" w:hAnsiTheme="minorHAnsi" w:cstheme="minorHAnsi"/>
              </w:rPr>
            </w:pPr>
          </w:p>
        </w:tc>
      </w:tr>
      <w:tr w:rsidR="000C10E3" w14:paraId="1B790D01" w14:textId="77777777" w:rsidTr="00F32013">
        <w:trPr>
          <w:trHeight w:val="539"/>
          <w:jc w:val="center"/>
        </w:trPr>
        <w:tc>
          <w:tcPr>
            <w:tcW w:w="278" w:type="pct"/>
            <w:shd w:val="clear" w:color="auto" w:fill="auto"/>
            <w:vAlign w:val="center"/>
          </w:tcPr>
          <w:p w14:paraId="4B0BFBB3" w14:textId="77777777" w:rsidR="00661606" w:rsidRPr="005669CE" w:rsidRDefault="00DB0A1C" w:rsidP="00CD6AFB">
            <w:pPr>
              <w:spacing w:before="120" w:after="120"/>
              <w:rPr>
                <w:rFonts w:asciiTheme="minorHAnsi" w:hAnsiTheme="minorHAnsi" w:cstheme="minorHAnsi"/>
              </w:rPr>
            </w:pPr>
            <w:r w:rsidRPr="005669CE">
              <w:rPr>
                <w:lang w:val="fr-FR"/>
              </w:rPr>
              <w:t>22</w:t>
            </w:r>
          </w:p>
        </w:tc>
        <w:tc>
          <w:tcPr>
            <w:tcW w:w="1477" w:type="pct"/>
            <w:shd w:val="clear" w:color="auto" w:fill="auto"/>
            <w:vAlign w:val="center"/>
          </w:tcPr>
          <w:p w14:paraId="25C3D234" w14:textId="77777777" w:rsidR="00661606" w:rsidRPr="005669CE" w:rsidRDefault="00DB0A1C" w:rsidP="00CD6AFB">
            <w:pPr>
              <w:rPr>
                <w:rFonts w:ascii="Verdana" w:hAnsi="Verdana"/>
                <w:color w:val="808080"/>
                <w:sz w:val="21"/>
                <w:szCs w:val="21"/>
              </w:rPr>
            </w:pPr>
            <w:r w:rsidRPr="005669CE">
              <w:rPr>
                <w:rFonts w:ascii="Verdana" w:hAnsi="Verdana"/>
                <w:color w:val="808080"/>
                <w:sz w:val="21"/>
                <w:szCs w:val="21"/>
                <w:lang w:val="fr-FR"/>
              </w:rPr>
              <w:t>|__|__|__|__|__|__|__|</w:t>
            </w:r>
          </w:p>
        </w:tc>
        <w:tc>
          <w:tcPr>
            <w:tcW w:w="439" w:type="pct"/>
            <w:shd w:val="clear" w:color="auto" w:fill="auto"/>
            <w:vAlign w:val="center"/>
          </w:tcPr>
          <w:p w14:paraId="6463D600"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6515B848"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0D4B8CC8" w14:textId="77777777" w:rsidR="00661606" w:rsidRPr="005669CE" w:rsidRDefault="00661606" w:rsidP="00CD6AFB">
            <w:pPr>
              <w:spacing w:before="240"/>
              <w:rPr>
                <w:rFonts w:asciiTheme="minorHAnsi" w:hAnsiTheme="minorHAnsi" w:cstheme="minorHAnsi"/>
              </w:rPr>
            </w:pPr>
          </w:p>
        </w:tc>
        <w:tc>
          <w:tcPr>
            <w:tcW w:w="440" w:type="pct"/>
            <w:shd w:val="clear" w:color="auto" w:fill="auto"/>
            <w:vAlign w:val="center"/>
          </w:tcPr>
          <w:p w14:paraId="26649A57" w14:textId="77777777" w:rsidR="00661606" w:rsidRPr="005669CE" w:rsidRDefault="00661606" w:rsidP="00CD6AFB">
            <w:pPr>
              <w:spacing w:before="240"/>
              <w:rPr>
                <w:rFonts w:asciiTheme="minorHAnsi" w:hAnsiTheme="minorHAnsi" w:cstheme="minorHAnsi"/>
              </w:rPr>
            </w:pPr>
          </w:p>
        </w:tc>
        <w:tc>
          <w:tcPr>
            <w:tcW w:w="1485" w:type="pct"/>
            <w:shd w:val="clear" w:color="auto" w:fill="auto"/>
            <w:vAlign w:val="center"/>
          </w:tcPr>
          <w:p w14:paraId="7C81D298" w14:textId="77777777" w:rsidR="00661606" w:rsidRPr="005669CE" w:rsidRDefault="00661606" w:rsidP="00CD6AFB">
            <w:pPr>
              <w:spacing w:before="240"/>
              <w:rPr>
                <w:rFonts w:asciiTheme="minorHAnsi" w:hAnsiTheme="minorHAnsi" w:cstheme="minorHAnsi"/>
              </w:rPr>
            </w:pPr>
          </w:p>
        </w:tc>
      </w:tr>
    </w:tbl>
    <w:p w14:paraId="59FADD61" w14:textId="77777777" w:rsidR="003F1F88" w:rsidRPr="005669CE" w:rsidRDefault="00DB0A1C">
      <w:pPr>
        <w:rPr>
          <w:rFonts w:ascii="Calibri Light" w:eastAsia="Calibri Light" w:hAnsi="Calibri Light" w:cs="Calibri Light"/>
          <w:color w:val="2E5395"/>
          <w:sz w:val="32"/>
          <w:szCs w:val="32"/>
        </w:rPr>
      </w:pPr>
      <w:r w:rsidRPr="005669CE">
        <w:rPr>
          <w:color w:val="2E5395"/>
          <w:lang w:val="fr-FR"/>
        </w:rPr>
        <w:br w:type="page"/>
      </w:r>
    </w:p>
    <w:p w14:paraId="080BB346" w14:textId="77777777" w:rsidR="000E2E95" w:rsidRPr="005669CE" w:rsidRDefault="00DB0A1C" w:rsidP="003F1F88">
      <w:pPr>
        <w:pStyle w:val="Heading2"/>
      </w:pPr>
      <w:bookmarkStart w:id="58" w:name="_Toc181011884"/>
      <w:r w:rsidRPr="005669CE">
        <w:rPr>
          <w:lang w:val="fr-FR"/>
        </w:rPr>
        <w:lastRenderedPageBreak/>
        <w:t>Formulaire d’urine (électronique)</w:t>
      </w:r>
      <w:bookmarkEnd w:id="58"/>
    </w:p>
    <w:p w14:paraId="43E94086" w14:textId="77777777" w:rsidR="000E2E95" w:rsidRPr="005669CE" w:rsidRDefault="000E2E95" w:rsidP="00341A0D">
      <w:pPr>
        <w:pStyle w:val="BodyText"/>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4"/>
        <w:gridCol w:w="2059"/>
        <w:gridCol w:w="3787"/>
        <w:gridCol w:w="2419"/>
      </w:tblGrid>
      <w:tr w:rsidR="000C10E3" w14:paraId="6EF32506" w14:textId="77777777">
        <w:trPr>
          <w:trHeight w:val="345"/>
        </w:trPr>
        <w:tc>
          <w:tcPr>
            <w:tcW w:w="1094" w:type="dxa"/>
          </w:tcPr>
          <w:p w14:paraId="665D2214" w14:textId="77777777" w:rsidR="000E2E95" w:rsidRPr="005669CE" w:rsidRDefault="00DB0A1C" w:rsidP="00CE74C2">
            <w:pPr>
              <w:pStyle w:val="TableParagraph"/>
              <w:spacing w:before="35"/>
              <w:ind w:left="14"/>
              <w:jc w:val="both"/>
              <w:rPr>
                <w:b/>
              </w:rPr>
            </w:pPr>
            <w:r w:rsidRPr="005669CE">
              <w:rPr>
                <w:b/>
                <w:bCs/>
                <w:spacing w:val="-2"/>
                <w:lang w:val="fr-FR"/>
              </w:rPr>
              <w:t>Question</w:t>
            </w:r>
          </w:p>
        </w:tc>
        <w:tc>
          <w:tcPr>
            <w:tcW w:w="2059" w:type="dxa"/>
          </w:tcPr>
          <w:p w14:paraId="1DF14B75" w14:textId="77777777" w:rsidR="000E2E95" w:rsidRPr="005669CE" w:rsidRDefault="00DB0A1C" w:rsidP="00CE74C2">
            <w:pPr>
              <w:pStyle w:val="TableParagraph"/>
              <w:spacing w:before="35"/>
              <w:ind w:left="16"/>
              <w:jc w:val="both"/>
              <w:rPr>
                <w:b/>
              </w:rPr>
            </w:pPr>
            <w:r w:rsidRPr="005669CE">
              <w:rPr>
                <w:b/>
                <w:bCs/>
                <w:spacing w:val="-2"/>
                <w:lang w:val="fr-FR"/>
              </w:rPr>
              <w:t>Variable</w:t>
            </w:r>
          </w:p>
        </w:tc>
        <w:tc>
          <w:tcPr>
            <w:tcW w:w="3787" w:type="dxa"/>
          </w:tcPr>
          <w:p w14:paraId="4CE89A73" w14:textId="77777777" w:rsidR="000E2E95" w:rsidRPr="005669CE" w:rsidRDefault="00DB0A1C" w:rsidP="00CE74C2">
            <w:pPr>
              <w:pStyle w:val="TableParagraph"/>
              <w:spacing w:before="35"/>
              <w:ind w:left="15"/>
              <w:jc w:val="both"/>
              <w:rPr>
                <w:b/>
              </w:rPr>
            </w:pPr>
            <w:r w:rsidRPr="005669CE">
              <w:rPr>
                <w:b/>
                <w:bCs/>
                <w:spacing w:val="-2"/>
                <w:lang w:val="fr-FR"/>
              </w:rPr>
              <w:t>Étiquette</w:t>
            </w:r>
          </w:p>
        </w:tc>
        <w:tc>
          <w:tcPr>
            <w:tcW w:w="2419" w:type="dxa"/>
          </w:tcPr>
          <w:p w14:paraId="127A0A8B" w14:textId="77777777" w:rsidR="000E2E95" w:rsidRPr="005669CE" w:rsidRDefault="00DB0A1C" w:rsidP="00CE74C2">
            <w:pPr>
              <w:pStyle w:val="TableParagraph"/>
              <w:spacing w:before="35"/>
              <w:ind w:left="15"/>
              <w:jc w:val="both"/>
              <w:rPr>
                <w:b/>
              </w:rPr>
            </w:pPr>
            <w:r w:rsidRPr="005669CE">
              <w:rPr>
                <w:b/>
                <w:bCs/>
                <w:lang w:val="fr-FR"/>
              </w:rPr>
              <w:t>Valeur saisie</w:t>
            </w:r>
          </w:p>
        </w:tc>
      </w:tr>
      <w:tr w:rsidR="000C10E3" w14:paraId="3EE538EA" w14:textId="77777777">
        <w:trPr>
          <w:trHeight w:val="345"/>
        </w:trPr>
        <w:tc>
          <w:tcPr>
            <w:tcW w:w="1094" w:type="dxa"/>
          </w:tcPr>
          <w:p w14:paraId="00E04FAB" w14:textId="77777777" w:rsidR="000E2E95" w:rsidRPr="005669CE" w:rsidRDefault="00DB0A1C" w:rsidP="00CE74C2">
            <w:pPr>
              <w:pStyle w:val="TableParagraph"/>
              <w:spacing w:before="32"/>
              <w:ind w:left="11"/>
              <w:jc w:val="both"/>
            </w:pPr>
            <w:r w:rsidRPr="005669CE">
              <w:rPr>
                <w:lang w:val="fr-FR"/>
              </w:rPr>
              <w:t>1</w:t>
            </w:r>
          </w:p>
        </w:tc>
        <w:tc>
          <w:tcPr>
            <w:tcW w:w="2059" w:type="dxa"/>
          </w:tcPr>
          <w:p w14:paraId="385D0998" w14:textId="77777777" w:rsidR="000E2E95" w:rsidRPr="005669CE" w:rsidRDefault="00DB0A1C" w:rsidP="00CE74C2">
            <w:pPr>
              <w:pStyle w:val="TableParagraph"/>
              <w:spacing w:before="32"/>
              <w:ind w:left="16"/>
              <w:jc w:val="both"/>
              <w:rPr>
                <w:b/>
              </w:rPr>
            </w:pPr>
            <w:proofErr w:type="spellStart"/>
            <w:proofErr w:type="gramStart"/>
            <w:r w:rsidRPr="005669CE">
              <w:rPr>
                <w:b/>
                <w:bCs/>
                <w:spacing w:val="-2"/>
                <w:lang w:val="fr-FR"/>
              </w:rPr>
              <w:t>u</w:t>
            </w:r>
            <w:proofErr w:type="gramEnd"/>
            <w:r w:rsidRPr="005669CE">
              <w:rPr>
                <w:b/>
                <w:bCs/>
                <w:spacing w:val="-2"/>
                <w:lang w:val="fr-FR"/>
              </w:rPr>
              <w:t>_microscopist_id</w:t>
            </w:r>
            <w:proofErr w:type="spellEnd"/>
          </w:p>
        </w:tc>
        <w:tc>
          <w:tcPr>
            <w:tcW w:w="3787" w:type="dxa"/>
          </w:tcPr>
          <w:p w14:paraId="6445E815" w14:textId="77777777" w:rsidR="000E2E95" w:rsidRPr="005669CE" w:rsidRDefault="00DB0A1C" w:rsidP="00CE74C2">
            <w:pPr>
              <w:pStyle w:val="TableParagraph"/>
              <w:spacing w:before="32"/>
              <w:ind w:left="15"/>
              <w:jc w:val="both"/>
            </w:pPr>
            <w:r w:rsidRPr="005669CE">
              <w:rPr>
                <w:lang w:val="fr-FR"/>
              </w:rPr>
              <w:t>ID du microscopiste</w:t>
            </w:r>
          </w:p>
        </w:tc>
        <w:tc>
          <w:tcPr>
            <w:tcW w:w="2419" w:type="dxa"/>
          </w:tcPr>
          <w:p w14:paraId="68E54717" w14:textId="77777777" w:rsidR="000E2E95" w:rsidRPr="005669CE" w:rsidRDefault="00DB0A1C" w:rsidP="00CE74C2">
            <w:pPr>
              <w:pStyle w:val="TableParagraph"/>
              <w:spacing w:before="32"/>
              <w:ind w:left="66"/>
              <w:jc w:val="both"/>
            </w:pPr>
            <w:r w:rsidRPr="005669CE">
              <w:rPr>
                <w:lang w:val="fr-FR"/>
              </w:rPr>
              <w:t>A partir d’une liste préremplie</w:t>
            </w:r>
          </w:p>
        </w:tc>
      </w:tr>
      <w:tr w:rsidR="000C10E3" w14:paraId="7C820BF3" w14:textId="77777777">
        <w:trPr>
          <w:trHeight w:val="345"/>
        </w:trPr>
        <w:tc>
          <w:tcPr>
            <w:tcW w:w="1094" w:type="dxa"/>
          </w:tcPr>
          <w:p w14:paraId="7AC530A3" w14:textId="77777777" w:rsidR="000E2E95" w:rsidRPr="005669CE" w:rsidRDefault="00DB0A1C" w:rsidP="00CE74C2">
            <w:pPr>
              <w:pStyle w:val="TableParagraph"/>
              <w:spacing w:before="32"/>
              <w:ind w:left="11"/>
              <w:jc w:val="both"/>
            </w:pPr>
            <w:r w:rsidRPr="005669CE">
              <w:rPr>
                <w:lang w:val="fr-FR"/>
              </w:rPr>
              <w:t>2</w:t>
            </w:r>
          </w:p>
        </w:tc>
        <w:tc>
          <w:tcPr>
            <w:tcW w:w="2059" w:type="dxa"/>
          </w:tcPr>
          <w:p w14:paraId="79E7CFED" w14:textId="77777777" w:rsidR="000E2E95" w:rsidRPr="005669CE" w:rsidRDefault="00DB0A1C" w:rsidP="00CE74C2">
            <w:pPr>
              <w:pStyle w:val="TableParagraph"/>
              <w:spacing w:before="32"/>
              <w:ind w:left="16"/>
              <w:jc w:val="both"/>
              <w:rPr>
                <w:b/>
              </w:rPr>
            </w:pPr>
            <w:proofErr w:type="spellStart"/>
            <w:proofErr w:type="gramStart"/>
            <w:r w:rsidRPr="005669CE">
              <w:rPr>
                <w:b/>
                <w:bCs/>
                <w:spacing w:val="-2"/>
                <w:lang w:val="fr-FR"/>
              </w:rPr>
              <w:t>u</w:t>
            </w:r>
            <w:proofErr w:type="gramEnd"/>
            <w:r w:rsidRPr="005669CE">
              <w:rPr>
                <w:b/>
                <w:bCs/>
                <w:spacing w:val="-2"/>
                <w:lang w:val="fr-FR"/>
              </w:rPr>
              <w:t>_district</w:t>
            </w:r>
            <w:proofErr w:type="spellEnd"/>
          </w:p>
        </w:tc>
        <w:tc>
          <w:tcPr>
            <w:tcW w:w="3787" w:type="dxa"/>
          </w:tcPr>
          <w:p w14:paraId="4D20BAE5" w14:textId="77777777" w:rsidR="000E2E95" w:rsidRPr="005669CE" w:rsidRDefault="00DB0A1C" w:rsidP="00CE74C2">
            <w:pPr>
              <w:pStyle w:val="TableParagraph"/>
              <w:spacing w:before="32"/>
              <w:ind w:left="15"/>
              <w:jc w:val="both"/>
            </w:pPr>
            <w:r w:rsidRPr="005669CE">
              <w:rPr>
                <w:lang w:val="fr-FR"/>
              </w:rPr>
              <w:t>Sélectionner le district</w:t>
            </w:r>
          </w:p>
        </w:tc>
        <w:tc>
          <w:tcPr>
            <w:tcW w:w="2419" w:type="dxa"/>
          </w:tcPr>
          <w:p w14:paraId="7BAED082" w14:textId="77777777" w:rsidR="000E2E95" w:rsidRPr="005669CE" w:rsidRDefault="00DB0A1C" w:rsidP="00CE74C2">
            <w:pPr>
              <w:pStyle w:val="TableParagraph"/>
              <w:spacing w:before="32"/>
              <w:ind w:left="66"/>
              <w:jc w:val="both"/>
            </w:pPr>
            <w:r w:rsidRPr="005669CE">
              <w:rPr>
                <w:lang w:val="fr-FR"/>
              </w:rPr>
              <w:t>A partir d’une liste préremplie</w:t>
            </w:r>
          </w:p>
        </w:tc>
      </w:tr>
      <w:tr w:rsidR="000C10E3" w14:paraId="60432520" w14:textId="77777777">
        <w:trPr>
          <w:trHeight w:val="342"/>
        </w:trPr>
        <w:tc>
          <w:tcPr>
            <w:tcW w:w="1094" w:type="dxa"/>
          </w:tcPr>
          <w:p w14:paraId="24116BE1" w14:textId="77777777" w:rsidR="000E2E95" w:rsidRPr="005669CE" w:rsidRDefault="00DB0A1C" w:rsidP="00CE74C2">
            <w:pPr>
              <w:pStyle w:val="TableParagraph"/>
              <w:spacing w:before="32"/>
              <w:ind w:left="11"/>
              <w:jc w:val="both"/>
            </w:pPr>
            <w:r w:rsidRPr="005669CE">
              <w:rPr>
                <w:lang w:val="fr-FR"/>
              </w:rPr>
              <w:t>3</w:t>
            </w:r>
          </w:p>
        </w:tc>
        <w:tc>
          <w:tcPr>
            <w:tcW w:w="2059" w:type="dxa"/>
          </w:tcPr>
          <w:p w14:paraId="4B64614B" w14:textId="77777777" w:rsidR="000E2E95" w:rsidRPr="005669CE" w:rsidRDefault="00DB0A1C" w:rsidP="00CE74C2">
            <w:pPr>
              <w:pStyle w:val="TableParagraph"/>
              <w:spacing w:before="32"/>
              <w:ind w:left="16"/>
              <w:jc w:val="both"/>
              <w:rPr>
                <w:b/>
              </w:rPr>
            </w:pPr>
            <w:proofErr w:type="spellStart"/>
            <w:proofErr w:type="gramStart"/>
            <w:r w:rsidRPr="005669CE">
              <w:rPr>
                <w:b/>
                <w:bCs/>
                <w:spacing w:val="-2"/>
                <w:lang w:val="fr-FR"/>
              </w:rPr>
              <w:t>u</w:t>
            </w:r>
            <w:proofErr w:type="gramEnd"/>
            <w:r w:rsidRPr="005669CE">
              <w:rPr>
                <w:b/>
                <w:bCs/>
                <w:spacing w:val="-2"/>
                <w:lang w:val="fr-FR"/>
              </w:rPr>
              <w:t>_subdistrict</w:t>
            </w:r>
            <w:proofErr w:type="spellEnd"/>
          </w:p>
        </w:tc>
        <w:tc>
          <w:tcPr>
            <w:tcW w:w="3787" w:type="dxa"/>
          </w:tcPr>
          <w:p w14:paraId="64F549D1" w14:textId="77777777" w:rsidR="000E2E95" w:rsidRPr="005669CE" w:rsidRDefault="00DB0A1C" w:rsidP="00CE74C2">
            <w:pPr>
              <w:pStyle w:val="TableParagraph"/>
              <w:spacing w:before="32"/>
              <w:ind w:left="15"/>
              <w:jc w:val="both"/>
            </w:pPr>
            <w:r w:rsidRPr="005669CE">
              <w:rPr>
                <w:lang w:val="fr-FR"/>
              </w:rPr>
              <w:t>Sélectionner le sous-district</w:t>
            </w:r>
          </w:p>
        </w:tc>
        <w:tc>
          <w:tcPr>
            <w:tcW w:w="2419" w:type="dxa"/>
          </w:tcPr>
          <w:p w14:paraId="311DD362" w14:textId="77777777" w:rsidR="000E2E95" w:rsidRPr="005669CE" w:rsidRDefault="00DB0A1C" w:rsidP="00CE74C2">
            <w:pPr>
              <w:pStyle w:val="TableParagraph"/>
              <w:spacing w:before="32"/>
              <w:ind w:left="66"/>
              <w:jc w:val="both"/>
            </w:pPr>
            <w:r w:rsidRPr="005669CE">
              <w:rPr>
                <w:lang w:val="fr-FR"/>
              </w:rPr>
              <w:t>A partir d’une liste préremplie</w:t>
            </w:r>
          </w:p>
        </w:tc>
      </w:tr>
      <w:tr w:rsidR="000C10E3" w14:paraId="3C9F52BF" w14:textId="77777777">
        <w:trPr>
          <w:trHeight w:val="345"/>
        </w:trPr>
        <w:tc>
          <w:tcPr>
            <w:tcW w:w="1094" w:type="dxa"/>
          </w:tcPr>
          <w:p w14:paraId="0AF42441" w14:textId="77777777" w:rsidR="000E2E95" w:rsidRPr="005669CE" w:rsidRDefault="00DB0A1C" w:rsidP="00CE74C2">
            <w:pPr>
              <w:pStyle w:val="TableParagraph"/>
              <w:spacing w:before="35"/>
              <w:ind w:left="11"/>
              <w:jc w:val="both"/>
            </w:pPr>
            <w:r w:rsidRPr="005669CE">
              <w:rPr>
                <w:lang w:val="fr-FR"/>
              </w:rPr>
              <w:t>4</w:t>
            </w:r>
          </w:p>
        </w:tc>
        <w:tc>
          <w:tcPr>
            <w:tcW w:w="2059" w:type="dxa"/>
          </w:tcPr>
          <w:p w14:paraId="531F8D1B" w14:textId="77777777" w:rsidR="000E2E95" w:rsidRPr="005669CE" w:rsidRDefault="00DB0A1C" w:rsidP="00CE74C2">
            <w:pPr>
              <w:pStyle w:val="TableParagraph"/>
              <w:spacing w:before="35"/>
              <w:ind w:left="16"/>
              <w:jc w:val="both"/>
              <w:rPr>
                <w:b/>
              </w:rPr>
            </w:pPr>
            <w:proofErr w:type="spellStart"/>
            <w:proofErr w:type="gramStart"/>
            <w:r w:rsidRPr="005669CE">
              <w:rPr>
                <w:b/>
                <w:bCs/>
                <w:spacing w:val="-2"/>
                <w:lang w:val="fr-FR"/>
              </w:rPr>
              <w:t>u</w:t>
            </w:r>
            <w:proofErr w:type="gramEnd"/>
            <w:r w:rsidRPr="005669CE">
              <w:rPr>
                <w:b/>
                <w:bCs/>
                <w:spacing w:val="-2"/>
                <w:lang w:val="fr-FR"/>
              </w:rPr>
              <w:t>_school_name</w:t>
            </w:r>
            <w:proofErr w:type="spellEnd"/>
          </w:p>
        </w:tc>
        <w:tc>
          <w:tcPr>
            <w:tcW w:w="3787" w:type="dxa"/>
          </w:tcPr>
          <w:p w14:paraId="7C752730" w14:textId="77777777" w:rsidR="000E2E95" w:rsidRPr="005669CE" w:rsidRDefault="00DB0A1C" w:rsidP="00CE74C2">
            <w:pPr>
              <w:pStyle w:val="TableParagraph"/>
              <w:spacing w:before="35"/>
              <w:ind w:left="15"/>
              <w:jc w:val="both"/>
            </w:pPr>
            <w:r w:rsidRPr="005669CE">
              <w:rPr>
                <w:lang w:val="fr-FR"/>
              </w:rPr>
              <w:t>Sélectionner le nom de l’école</w:t>
            </w:r>
          </w:p>
        </w:tc>
        <w:tc>
          <w:tcPr>
            <w:tcW w:w="2419" w:type="dxa"/>
          </w:tcPr>
          <w:p w14:paraId="356D493C" w14:textId="77777777" w:rsidR="000E2E95" w:rsidRPr="005669CE" w:rsidRDefault="00DB0A1C" w:rsidP="00CE74C2">
            <w:pPr>
              <w:pStyle w:val="TableParagraph"/>
              <w:spacing w:before="35"/>
              <w:ind w:left="66"/>
              <w:jc w:val="both"/>
            </w:pPr>
            <w:r w:rsidRPr="005669CE">
              <w:rPr>
                <w:lang w:val="fr-FR"/>
              </w:rPr>
              <w:t>A partir d’une liste préremplie</w:t>
            </w:r>
          </w:p>
        </w:tc>
      </w:tr>
      <w:tr w:rsidR="000C10E3" w14:paraId="20A36FED" w14:textId="77777777">
        <w:trPr>
          <w:trHeight w:val="595"/>
        </w:trPr>
        <w:tc>
          <w:tcPr>
            <w:tcW w:w="1094" w:type="dxa"/>
          </w:tcPr>
          <w:p w14:paraId="47363BF5" w14:textId="77777777" w:rsidR="000E2E95" w:rsidRPr="005669CE" w:rsidRDefault="00DB0A1C" w:rsidP="00CE74C2">
            <w:pPr>
              <w:pStyle w:val="TableParagraph"/>
              <w:spacing w:before="160"/>
              <w:ind w:left="11"/>
              <w:jc w:val="both"/>
            </w:pPr>
            <w:r w:rsidRPr="005669CE">
              <w:rPr>
                <w:lang w:val="fr-FR"/>
              </w:rPr>
              <w:t>5</w:t>
            </w:r>
          </w:p>
        </w:tc>
        <w:tc>
          <w:tcPr>
            <w:tcW w:w="2059" w:type="dxa"/>
          </w:tcPr>
          <w:p w14:paraId="06A7064A" w14:textId="77777777" w:rsidR="000E2E95" w:rsidRPr="005669CE" w:rsidRDefault="00DB0A1C" w:rsidP="00CE74C2">
            <w:pPr>
              <w:pStyle w:val="TableParagraph"/>
              <w:spacing w:before="160"/>
              <w:ind w:left="16"/>
              <w:jc w:val="both"/>
              <w:rPr>
                <w:b/>
              </w:rPr>
            </w:pPr>
            <w:proofErr w:type="spellStart"/>
            <w:r w:rsidRPr="005669CE">
              <w:rPr>
                <w:b/>
                <w:bCs/>
                <w:spacing w:val="-2"/>
                <w:lang w:val="fr-FR"/>
              </w:rPr>
              <w:t>U_samples_batch</w:t>
            </w:r>
            <w:proofErr w:type="spellEnd"/>
          </w:p>
        </w:tc>
        <w:tc>
          <w:tcPr>
            <w:tcW w:w="3787" w:type="dxa"/>
          </w:tcPr>
          <w:p w14:paraId="50A90805" w14:textId="77777777" w:rsidR="000E2E95" w:rsidRPr="005669CE" w:rsidRDefault="00DB0A1C" w:rsidP="00CE74C2">
            <w:pPr>
              <w:pStyle w:val="TableParagraph"/>
              <w:spacing w:before="16"/>
              <w:ind w:left="15"/>
              <w:jc w:val="both"/>
            </w:pPr>
            <w:r w:rsidRPr="005669CE">
              <w:rPr>
                <w:lang w:val="fr-FR"/>
              </w:rPr>
              <w:t>Combien d’échantillons ont été prélevés dans cette</w:t>
            </w:r>
          </w:p>
          <w:p w14:paraId="7FA57810" w14:textId="77777777" w:rsidR="000E2E95" w:rsidRPr="005669CE" w:rsidRDefault="00DB0A1C" w:rsidP="00CE74C2">
            <w:pPr>
              <w:pStyle w:val="TableParagraph"/>
              <w:spacing w:before="22"/>
              <w:ind w:left="15"/>
              <w:jc w:val="both"/>
            </w:pPr>
            <w:proofErr w:type="gramStart"/>
            <w:r w:rsidRPr="005669CE">
              <w:rPr>
                <w:lang w:val="fr-FR"/>
              </w:rPr>
              <w:t>école</w:t>
            </w:r>
            <w:proofErr w:type="gramEnd"/>
            <w:r w:rsidRPr="005669CE">
              <w:rPr>
                <w:lang w:val="fr-FR"/>
              </w:rPr>
              <w:t> ?</w:t>
            </w:r>
          </w:p>
        </w:tc>
        <w:tc>
          <w:tcPr>
            <w:tcW w:w="2419" w:type="dxa"/>
          </w:tcPr>
          <w:p w14:paraId="09FBEC43" w14:textId="77777777" w:rsidR="000E2E95" w:rsidRPr="005669CE" w:rsidRDefault="00DB0A1C" w:rsidP="00CE74C2">
            <w:pPr>
              <w:pStyle w:val="TableParagraph"/>
              <w:spacing w:before="160"/>
              <w:ind w:left="15"/>
              <w:jc w:val="both"/>
            </w:pPr>
            <w:r w:rsidRPr="005669CE">
              <w:rPr>
                <w:lang w:val="fr-FR"/>
              </w:rPr>
              <w:t>Valeur numérique restreinte (1 à 32)</w:t>
            </w:r>
          </w:p>
        </w:tc>
      </w:tr>
      <w:tr w:rsidR="000C10E3" w14:paraId="42BEE567" w14:textId="77777777">
        <w:trPr>
          <w:trHeight w:val="345"/>
        </w:trPr>
        <w:tc>
          <w:tcPr>
            <w:tcW w:w="9359" w:type="dxa"/>
            <w:gridSpan w:val="4"/>
          </w:tcPr>
          <w:p w14:paraId="3909A9AB" w14:textId="77777777" w:rsidR="000E2E95" w:rsidRPr="005669CE" w:rsidRDefault="00DB0A1C" w:rsidP="00CE74C2">
            <w:pPr>
              <w:pStyle w:val="TableParagraph"/>
              <w:spacing w:before="35"/>
              <w:ind w:left="14"/>
              <w:jc w:val="both"/>
              <w:rPr>
                <w:b/>
                <w:i/>
              </w:rPr>
            </w:pPr>
            <w:r w:rsidRPr="005669CE">
              <w:rPr>
                <w:b/>
                <w:bCs/>
                <w:i/>
                <w:iCs/>
                <w:lang w:val="fr-FR"/>
              </w:rPr>
              <w:t>Ouvrir la boucle de sorte qu’il y ait des réponses pour n échantillons</w:t>
            </w:r>
          </w:p>
        </w:tc>
      </w:tr>
      <w:tr w:rsidR="000C10E3" w14:paraId="275B80B4" w14:textId="77777777">
        <w:trPr>
          <w:trHeight w:val="345"/>
        </w:trPr>
        <w:tc>
          <w:tcPr>
            <w:tcW w:w="1094" w:type="dxa"/>
          </w:tcPr>
          <w:p w14:paraId="307389EB" w14:textId="77777777" w:rsidR="000E2E95" w:rsidRPr="005669CE" w:rsidRDefault="00DB0A1C" w:rsidP="00CE74C2">
            <w:pPr>
              <w:pStyle w:val="TableParagraph"/>
              <w:spacing w:before="35"/>
              <w:ind w:left="11"/>
              <w:jc w:val="both"/>
            </w:pPr>
            <w:r w:rsidRPr="005669CE">
              <w:rPr>
                <w:lang w:val="fr-FR"/>
              </w:rPr>
              <w:t>5</w:t>
            </w:r>
          </w:p>
        </w:tc>
        <w:tc>
          <w:tcPr>
            <w:tcW w:w="2059" w:type="dxa"/>
          </w:tcPr>
          <w:p w14:paraId="5B7ECC9E" w14:textId="77777777" w:rsidR="000E2E95" w:rsidRPr="005669CE" w:rsidRDefault="00DB0A1C" w:rsidP="00CE74C2">
            <w:pPr>
              <w:pStyle w:val="TableParagraph"/>
              <w:spacing w:before="35"/>
              <w:ind w:left="16"/>
              <w:jc w:val="both"/>
              <w:rPr>
                <w:b/>
              </w:rPr>
            </w:pPr>
            <w:proofErr w:type="spellStart"/>
            <w:proofErr w:type="gramStart"/>
            <w:r w:rsidRPr="005669CE">
              <w:rPr>
                <w:b/>
                <w:bCs/>
                <w:spacing w:val="-2"/>
                <w:lang w:val="fr-FR"/>
              </w:rPr>
              <w:t>u</w:t>
            </w:r>
            <w:proofErr w:type="gramEnd"/>
            <w:r w:rsidRPr="005669CE">
              <w:rPr>
                <w:b/>
                <w:bCs/>
                <w:spacing w:val="-2"/>
                <w:lang w:val="fr-FR"/>
              </w:rPr>
              <w:t>_participant_ID</w:t>
            </w:r>
            <w:proofErr w:type="spellEnd"/>
          </w:p>
        </w:tc>
        <w:tc>
          <w:tcPr>
            <w:tcW w:w="3787" w:type="dxa"/>
          </w:tcPr>
          <w:p w14:paraId="2A7CB7D8" w14:textId="77777777" w:rsidR="000E2E95" w:rsidRPr="005669CE" w:rsidRDefault="00DB0A1C" w:rsidP="00CE74C2">
            <w:pPr>
              <w:pStyle w:val="TableParagraph"/>
              <w:spacing w:before="35"/>
              <w:ind w:left="15"/>
              <w:jc w:val="both"/>
            </w:pPr>
            <w:r w:rsidRPr="005669CE">
              <w:rPr>
                <w:lang w:val="fr-FR"/>
              </w:rPr>
              <w:t>Saisir l’identifiant du participant</w:t>
            </w:r>
          </w:p>
        </w:tc>
        <w:tc>
          <w:tcPr>
            <w:tcW w:w="2419" w:type="dxa"/>
          </w:tcPr>
          <w:p w14:paraId="0DA5A945" w14:textId="77777777" w:rsidR="000E2E95" w:rsidRPr="005669CE" w:rsidRDefault="00DB0A1C" w:rsidP="00CE74C2">
            <w:pPr>
              <w:pStyle w:val="TableParagraph"/>
              <w:spacing w:before="35"/>
              <w:ind w:left="66"/>
              <w:jc w:val="both"/>
            </w:pPr>
            <w:r w:rsidRPr="005669CE">
              <w:rPr>
                <w:lang w:val="fr-FR"/>
              </w:rPr>
              <w:t>Valeur numérique restreinte (1-n)</w:t>
            </w:r>
          </w:p>
        </w:tc>
      </w:tr>
      <w:tr w:rsidR="000C10E3" w14:paraId="2E6CFA32" w14:textId="77777777">
        <w:trPr>
          <w:trHeight w:val="345"/>
        </w:trPr>
        <w:tc>
          <w:tcPr>
            <w:tcW w:w="1094" w:type="dxa"/>
          </w:tcPr>
          <w:p w14:paraId="7C653B8D" w14:textId="77777777" w:rsidR="000E2E95" w:rsidRPr="005669CE" w:rsidRDefault="00DB0A1C" w:rsidP="00CE74C2">
            <w:pPr>
              <w:pStyle w:val="TableParagraph"/>
              <w:spacing w:before="35"/>
              <w:ind w:left="11"/>
              <w:jc w:val="both"/>
            </w:pPr>
            <w:r w:rsidRPr="005669CE">
              <w:rPr>
                <w:lang w:val="fr-FR"/>
              </w:rPr>
              <w:t>6</w:t>
            </w:r>
          </w:p>
        </w:tc>
        <w:tc>
          <w:tcPr>
            <w:tcW w:w="2059" w:type="dxa"/>
          </w:tcPr>
          <w:p w14:paraId="52AA78F9" w14:textId="77777777" w:rsidR="000E2E95" w:rsidRPr="005669CE" w:rsidRDefault="00DB0A1C" w:rsidP="00CE74C2">
            <w:pPr>
              <w:pStyle w:val="TableParagraph"/>
              <w:spacing w:before="35"/>
              <w:ind w:left="16"/>
              <w:jc w:val="both"/>
              <w:rPr>
                <w:b/>
              </w:rPr>
            </w:pPr>
            <w:proofErr w:type="gramStart"/>
            <w:r w:rsidRPr="005669CE">
              <w:rPr>
                <w:b/>
                <w:bCs/>
                <w:spacing w:val="-2"/>
                <w:lang w:val="fr-FR"/>
              </w:rPr>
              <w:t>u</w:t>
            </w:r>
            <w:proofErr w:type="gramEnd"/>
            <w:r w:rsidRPr="005669CE">
              <w:rPr>
                <w:b/>
                <w:bCs/>
                <w:spacing w:val="-2"/>
                <w:lang w:val="fr-FR"/>
              </w:rPr>
              <w:t>_participant_ID2</w:t>
            </w:r>
          </w:p>
        </w:tc>
        <w:tc>
          <w:tcPr>
            <w:tcW w:w="3787" w:type="dxa"/>
          </w:tcPr>
          <w:p w14:paraId="70EFBFE5" w14:textId="77777777" w:rsidR="000E2E95" w:rsidRPr="005669CE" w:rsidRDefault="00DB0A1C" w:rsidP="00CE74C2">
            <w:pPr>
              <w:pStyle w:val="TableParagraph"/>
              <w:spacing w:before="35"/>
              <w:ind w:left="15"/>
              <w:jc w:val="both"/>
            </w:pPr>
            <w:r w:rsidRPr="005669CE">
              <w:rPr>
                <w:lang w:val="fr-FR"/>
              </w:rPr>
              <w:t>Saisir à nouveau l’identifiant unique</w:t>
            </w:r>
          </w:p>
        </w:tc>
        <w:tc>
          <w:tcPr>
            <w:tcW w:w="2419" w:type="dxa"/>
          </w:tcPr>
          <w:p w14:paraId="38A1B36C" w14:textId="77777777" w:rsidR="000E2E95" w:rsidRPr="005669CE" w:rsidRDefault="00DB0A1C" w:rsidP="00CE74C2">
            <w:pPr>
              <w:pStyle w:val="TableParagraph"/>
              <w:spacing w:before="35"/>
              <w:ind w:left="66"/>
              <w:jc w:val="both"/>
            </w:pPr>
            <w:r w:rsidRPr="005669CE">
              <w:rPr>
                <w:lang w:val="fr-FR"/>
              </w:rPr>
              <w:t>Valeur numérique restreinte (1-n)</w:t>
            </w:r>
          </w:p>
        </w:tc>
      </w:tr>
      <w:tr w:rsidR="000C10E3" w14:paraId="0BCEF69B" w14:textId="77777777">
        <w:trPr>
          <w:trHeight w:val="1754"/>
        </w:trPr>
        <w:tc>
          <w:tcPr>
            <w:tcW w:w="1094" w:type="dxa"/>
          </w:tcPr>
          <w:p w14:paraId="25C72057" w14:textId="77777777" w:rsidR="000E2E95" w:rsidRPr="005669CE" w:rsidRDefault="000E2E95" w:rsidP="00CE74C2">
            <w:pPr>
              <w:pStyle w:val="TableParagraph"/>
              <w:jc w:val="both"/>
              <w:rPr>
                <w:rFonts w:ascii="Calibri Light"/>
              </w:rPr>
            </w:pPr>
          </w:p>
          <w:p w14:paraId="63306AB7" w14:textId="77777777" w:rsidR="000E2E95" w:rsidRPr="005669CE" w:rsidRDefault="000E2E95" w:rsidP="00CE74C2">
            <w:pPr>
              <w:pStyle w:val="TableParagraph"/>
              <w:spacing w:before="201"/>
              <w:jc w:val="both"/>
              <w:rPr>
                <w:rFonts w:ascii="Calibri Light"/>
              </w:rPr>
            </w:pPr>
          </w:p>
          <w:p w14:paraId="537AE8C3" w14:textId="77777777" w:rsidR="000E2E95" w:rsidRPr="005669CE" w:rsidRDefault="00DB0A1C" w:rsidP="00CE74C2">
            <w:pPr>
              <w:pStyle w:val="TableParagraph"/>
              <w:ind w:left="11"/>
              <w:jc w:val="both"/>
            </w:pPr>
            <w:r w:rsidRPr="005669CE">
              <w:rPr>
                <w:lang w:val="fr-FR"/>
              </w:rPr>
              <w:t>7</w:t>
            </w:r>
          </w:p>
        </w:tc>
        <w:tc>
          <w:tcPr>
            <w:tcW w:w="2059" w:type="dxa"/>
          </w:tcPr>
          <w:p w14:paraId="2D406B77" w14:textId="77777777" w:rsidR="000E2E95" w:rsidRPr="005669CE" w:rsidRDefault="000E2E95" w:rsidP="00CE74C2">
            <w:pPr>
              <w:pStyle w:val="TableParagraph"/>
              <w:jc w:val="both"/>
              <w:rPr>
                <w:rFonts w:ascii="Calibri Light"/>
              </w:rPr>
            </w:pPr>
          </w:p>
          <w:p w14:paraId="1B6779EB" w14:textId="77777777" w:rsidR="000E2E95" w:rsidRPr="005669CE" w:rsidRDefault="000E2E95" w:rsidP="00CE74C2">
            <w:pPr>
              <w:pStyle w:val="TableParagraph"/>
              <w:spacing w:before="201"/>
              <w:jc w:val="both"/>
              <w:rPr>
                <w:rFonts w:ascii="Calibri Light"/>
              </w:rPr>
            </w:pPr>
          </w:p>
          <w:p w14:paraId="6BBCDCFF" w14:textId="77777777" w:rsidR="000E2E95" w:rsidRPr="005669CE" w:rsidRDefault="00DB0A1C" w:rsidP="00CE74C2">
            <w:pPr>
              <w:pStyle w:val="TableParagraph"/>
              <w:ind w:left="16"/>
              <w:jc w:val="both"/>
              <w:rPr>
                <w:b/>
              </w:rPr>
            </w:pPr>
            <w:proofErr w:type="spellStart"/>
            <w:proofErr w:type="gramStart"/>
            <w:r w:rsidRPr="005669CE">
              <w:rPr>
                <w:b/>
                <w:bCs/>
                <w:spacing w:val="-2"/>
                <w:lang w:val="fr-FR"/>
              </w:rPr>
              <w:t>u</w:t>
            </w:r>
            <w:proofErr w:type="gramEnd"/>
            <w:r w:rsidRPr="005669CE">
              <w:rPr>
                <w:b/>
                <w:bCs/>
                <w:spacing w:val="-2"/>
                <w:lang w:val="fr-FR"/>
              </w:rPr>
              <w:t>_dipstick</w:t>
            </w:r>
            <w:proofErr w:type="spellEnd"/>
          </w:p>
        </w:tc>
        <w:tc>
          <w:tcPr>
            <w:tcW w:w="3787" w:type="dxa"/>
          </w:tcPr>
          <w:p w14:paraId="47771E6B" w14:textId="77777777" w:rsidR="000E2E95" w:rsidRPr="005669CE" w:rsidRDefault="000E2E95" w:rsidP="00CE74C2">
            <w:pPr>
              <w:pStyle w:val="TableParagraph"/>
              <w:jc w:val="both"/>
              <w:rPr>
                <w:rFonts w:ascii="Calibri Light"/>
              </w:rPr>
            </w:pPr>
          </w:p>
          <w:p w14:paraId="3FD6CB68" w14:textId="77777777" w:rsidR="000E2E95" w:rsidRPr="005669CE" w:rsidRDefault="000E2E95" w:rsidP="00CE74C2">
            <w:pPr>
              <w:pStyle w:val="TableParagraph"/>
              <w:spacing w:before="201"/>
              <w:jc w:val="both"/>
              <w:rPr>
                <w:rFonts w:ascii="Calibri Light"/>
              </w:rPr>
            </w:pPr>
          </w:p>
          <w:p w14:paraId="2E463B22" w14:textId="77777777" w:rsidR="000E2E95" w:rsidRPr="005669CE" w:rsidRDefault="00DB0A1C" w:rsidP="00CE74C2">
            <w:pPr>
              <w:pStyle w:val="TableParagraph"/>
              <w:ind w:left="15"/>
              <w:jc w:val="both"/>
            </w:pPr>
            <w:r w:rsidRPr="005669CE">
              <w:rPr>
                <w:lang w:val="fr-FR"/>
              </w:rPr>
              <w:t>Résultat de la bandelette réactive (hématurie microscopique)</w:t>
            </w:r>
          </w:p>
        </w:tc>
        <w:tc>
          <w:tcPr>
            <w:tcW w:w="2419" w:type="dxa"/>
          </w:tcPr>
          <w:p w14:paraId="575765D6" w14:textId="77777777" w:rsidR="000E2E95" w:rsidRPr="005669CE" w:rsidRDefault="00DB0A1C" w:rsidP="00CE74C2">
            <w:pPr>
              <w:pStyle w:val="TableParagraph"/>
              <w:spacing w:before="13"/>
              <w:ind w:left="15"/>
              <w:jc w:val="both"/>
            </w:pPr>
            <w:r w:rsidRPr="005669CE">
              <w:rPr>
                <w:lang w:val="fr-FR"/>
              </w:rPr>
              <w:t>0 = Aucun</w:t>
            </w:r>
          </w:p>
          <w:p w14:paraId="4EEA9E74" w14:textId="77777777" w:rsidR="000E2E95" w:rsidRPr="005669CE" w:rsidRDefault="00DB0A1C" w:rsidP="00CE74C2">
            <w:pPr>
              <w:pStyle w:val="TableParagraph"/>
              <w:spacing w:before="22"/>
              <w:ind w:left="15"/>
              <w:jc w:val="both"/>
            </w:pPr>
            <w:r w:rsidRPr="005669CE">
              <w:rPr>
                <w:lang w:val="fr-FR"/>
              </w:rPr>
              <w:t>1= Trace, non hémolysé</w:t>
            </w:r>
          </w:p>
          <w:p w14:paraId="19CDAE92" w14:textId="77777777" w:rsidR="000E2E95" w:rsidRPr="005669CE" w:rsidRDefault="00DB0A1C" w:rsidP="00CE74C2">
            <w:pPr>
              <w:pStyle w:val="TableParagraph"/>
              <w:spacing w:before="22"/>
              <w:ind w:left="15"/>
              <w:jc w:val="both"/>
            </w:pPr>
            <w:r w:rsidRPr="005669CE">
              <w:rPr>
                <w:lang w:val="fr-FR"/>
              </w:rPr>
              <w:t>2= Trace, hémolysé</w:t>
            </w:r>
          </w:p>
          <w:p w14:paraId="02AED622" w14:textId="77777777" w:rsidR="000E2E95" w:rsidRPr="005669CE" w:rsidRDefault="00DB0A1C" w:rsidP="00CE74C2">
            <w:pPr>
              <w:pStyle w:val="TableParagraph"/>
              <w:spacing w:before="22"/>
              <w:ind w:left="15"/>
              <w:jc w:val="both"/>
            </w:pPr>
            <w:r w:rsidRPr="005669CE">
              <w:rPr>
                <w:lang w:val="fr-FR"/>
              </w:rPr>
              <w:t>3 = +</w:t>
            </w:r>
          </w:p>
          <w:p w14:paraId="08598795" w14:textId="77777777" w:rsidR="000E2E95" w:rsidRPr="005669CE" w:rsidRDefault="00DB0A1C" w:rsidP="00CE74C2">
            <w:pPr>
              <w:pStyle w:val="TableParagraph"/>
              <w:spacing w:before="19"/>
              <w:ind w:left="15"/>
              <w:jc w:val="both"/>
            </w:pPr>
            <w:r w:rsidRPr="005669CE">
              <w:rPr>
                <w:lang w:val="fr-FR"/>
              </w:rPr>
              <w:t>4 = ++</w:t>
            </w:r>
          </w:p>
          <w:p w14:paraId="6DB31F91" w14:textId="77777777" w:rsidR="000E2E95" w:rsidRPr="005669CE" w:rsidRDefault="00DB0A1C" w:rsidP="00CE74C2">
            <w:pPr>
              <w:pStyle w:val="TableParagraph"/>
              <w:spacing w:before="22"/>
              <w:ind w:left="15"/>
              <w:jc w:val="both"/>
            </w:pPr>
            <w:r w:rsidRPr="005669CE">
              <w:rPr>
                <w:lang w:val="fr-FR"/>
              </w:rPr>
              <w:t>5 = +++</w:t>
            </w:r>
          </w:p>
        </w:tc>
      </w:tr>
      <w:tr w:rsidR="000C10E3" w14:paraId="569C68F1" w14:textId="77777777">
        <w:trPr>
          <w:trHeight w:val="594"/>
        </w:trPr>
        <w:tc>
          <w:tcPr>
            <w:tcW w:w="1094" w:type="dxa"/>
          </w:tcPr>
          <w:p w14:paraId="1DD74318" w14:textId="77777777" w:rsidR="000E2E95" w:rsidRPr="005669CE" w:rsidRDefault="00DB0A1C" w:rsidP="00CE74C2">
            <w:pPr>
              <w:pStyle w:val="TableParagraph"/>
              <w:spacing w:before="160"/>
              <w:ind w:left="11"/>
              <w:jc w:val="both"/>
            </w:pPr>
            <w:r w:rsidRPr="005669CE">
              <w:rPr>
                <w:lang w:val="fr-FR"/>
              </w:rPr>
              <w:t>8</w:t>
            </w:r>
          </w:p>
        </w:tc>
        <w:tc>
          <w:tcPr>
            <w:tcW w:w="2059" w:type="dxa"/>
          </w:tcPr>
          <w:p w14:paraId="6635BEB1" w14:textId="77777777" w:rsidR="000E2E95" w:rsidRPr="005669CE" w:rsidRDefault="00DB0A1C" w:rsidP="00CE74C2">
            <w:pPr>
              <w:pStyle w:val="TableParagraph"/>
              <w:spacing w:before="160"/>
              <w:ind w:left="16"/>
              <w:jc w:val="both"/>
              <w:rPr>
                <w:b/>
              </w:rPr>
            </w:pPr>
            <w:proofErr w:type="spellStart"/>
            <w:proofErr w:type="gramStart"/>
            <w:r w:rsidRPr="005669CE">
              <w:rPr>
                <w:b/>
                <w:bCs/>
                <w:spacing w:val="-2"/>
                <w:lang w:val="fr-FR"/>
              </w:rPr>
              <w:t>u</w:t>
            </w:r>
            <w:proofErr w:type="gramEnd"/>
            <w:r w:rsidRPr="005669CE">
              <w:rPr>
                <w:b/>
                <w:bCs/>
                <w:spacing w:val="-2"/>
                <w:lang w:val="fr-FR"/>
              </w:rPr>
              <w:t>_ml_urine</w:t>
            </w:r>
            <w:proofErr w:type="spellEnd"/>
          </w:p>
        </w:tc>
        <w:tc>
          <w:tcPr>
            <w:tcW w:w="3787" w:type="dxa"/>
          </w:tcPr>
          <w:p w14:paraId="36E17760" w14:textId="77777777" w:rsidR="000E2E95" w:rsidRPr="005669CE" w:rsidRDefault="00DB0A1C" w:rsidP="00CE74C2">
            <w:pPr>
              <w:pStyle w:val="TableParagraph"/>
              <w:spacing w:before="13"/>
              <w:ind w:left="15"/>
              <w:jc w:val="both"/>
            </w:pPr>
            <w:r w:rsidRPr="005669CE">
              <w:rPr>
                <w:lang w:val="fr-FR"/>
              </w:rPr>
              <w:t>Volume (ml) d’urine filtrée</w:t>
            </w:r>
          </w:p>
          <w:p w14:paraId="02AD6702" w14:textId="77777777" w:rsidR="000E2E95" w:rsidRPr="005669CE" w:rsidRDefault="00DB0A1C" w:rsidP="00CE74C2">
            <w:pPr>
              <w:pStyle w:val="TableParagraph"/>
              <w:spacing w:before="22"/>
              <w:ind w:left="15"/>
              <w:jc w:val="both"/>
            </w:pPr>
            <w:r w:rsidRPr="005669CE">
              <w:rPr>
                <w:lang w:val="fr-FR"/>
              </w:rPr>
              <w:t>Ne pas jeter les échantillons de moins de 10 ml</w:t>
            </w:r>
          </w:p>
        </w:tc>
        <w:tc>
          <w:tcPr>
            <w:tcW w:w="2419" w:type="dxa"/>
          </w:tcPr>
          <w:p w14:paraId="515575FE" w14:textId="77777777" w:rsidR="000E2E95" w:rsidRPr="005669CE" w:rsidRDefault="000E2E95" w:rsidP="00CE74C2">
            <w:pPr>
              <w:pStyle w:val="TableParagraph"/>
              <w:jc w:val="both"/>
              <w:rPr>
                <w:rFonts w:ascii="Times New Roman"/>
              </w:rPr>
            </w:pPr>
          </w:p>
        </w:tc>
      </w:tr>
      <w:tr w:rsidR="000C10E3" w14:paraId="54D71CD9" w14:textId="77777777">
        <w:trPr>
          <w:trHeight w:val="345"/>
        </w:trPr>
        <w:tc>
          <w:tcPr>
            <w:tcW w:w="1094" w:type="dxa"/>
          </w:tcPr>
          <w:p w14:paraId="4972C3F6" w14:textId="77777777" w:rsidR="000E2E95" w:rsidRPr="005669CE" w:rsidRDefault="00DB0A1C" w:rsidP="00CE74C2">
            <w:pPr>
              <w:pStyle w:val="TableParagraph"/>
              <w:spacing w:before="35"/>
              <w:ind w:left="11"/>
              <w:jc w:val="both"/>
            </w:pPr>
            <w:r w:rsidRPr="005669CE">
              <w:rPr>
                <w:lang w:val="fr-FR"/>
              </w:rPr>
              <w:t>9</w:t>
            </w:r>
          </w:p>
        </w:tc>
        <w:tc>
          <w:tcPr>
            <w:tcW w:w="2059" w:type="dxa"/>
          </w:tcPr>
          <w:p w14:paraId="52D4891C" w14:textId="77777777" w:rsidR="000E2E95" w:rsidRPr="005669CE" w:rsidRDefault="00DB0A1C" w:rsidP="00CE74C2">
            <w:pPr>
              <w:pStyle w:val="TableParagraph"/>
              <w:spacing w:before="35"/>
              <w:ind w:left="16"/>
              <w:jc w:val="both"/>
              <w:rPr>
                <w:b/>
              </w:rPr>
            </w:pPr>
            <w:proofErr w:type="spellStart"/>
            <w:proofErr w:type="gramStart"/>
            <w:r w:rsidRPr="005669CE">
              <w:rPr>
                <w:b/>
                <w:bCs/>
                <w:spacing w:val="-2"/>
                <w:lang w:val="fr-FR"/>
              </w:rPr>
              <w:t>u</w:t>
            </w:r>
            <w:proofErr w:type="gramEnd"/>
            <w:r w:rsidRPr="005669CE">
              <w:rPr>
                <w:b/>
                <w:bCs/>
                <w:spacing w:val="-2"/>
                <w:lang w:val="fr-FR"/>
              </w:rPr>
              <w:t>_sh_egp_ml</w:t>
            </w:r>
            <w:proofErr w:type="spellEnd"/>
          </w:p>
        </w:tc>
        <w:tc>
          <w:tcPr>
            <w:tcW w:w="3787" w:type="dxa"/>
          </w:tcPr>
          <w:p w14:paraId="3E9CE1B8" w14:textId="77777777" w:rsidR="000E2E95" w:rsidRPr="005669CE" w:rsidRDefault="00DB0A1C" w:rsidP="00CE74C2">
            <w:pPr>
              <w:pStyle w:val="TableParagraph"/>
              <w:spacing w:before="35"/>
              <w:ind w:left="15"/>
              <w:jc w:val="both"/>
            </w:pPr>
            <w:r w:rsidRPr="005669CE">
              <w:rPr>
                <w:lang w:val="fr-FR"/>
              </w:rPr>
              <w:t>Nombre d’œufs enregistré</w:t>
            </w:r>
          </w:p>
        </w:tc>
        <w:tc>
          <w:tcPr>
            <w:tcW w:w="2419" w:type="dxa"/>
          </w:tcPr>
          <w:p w14:paraId="238C34ED" w14:textId="77777777" w:rsidR="000E2E95" w:rsidRPr="005669CE" w:rsidRDefault="000E2E95" w:rsidP="00CE74C2">
            <w:pPr>
              <w:pStyle w:val="TableParagraph"/>
              <w:jc w:val="both"/>
              <w:rPr>
                <w:rFonts w:ascii="Times New Roman"/>
              </w:rPr>
            </w:pPr>
          </w:p>
        </w:tc>
      </w:tr>
      <w:tr w:rsidR="000C10E3" w14:paraId="4074E181" w14:textId="77777777">
        <w:trPr>
          <w:trHeight w:val="345"/>
        </w:trPr>
        <w:tc>
          <w:tcPr>
            <w:tcW w:w="1094" w:type="dxa"/>
          </w:tcPr>
          <w:p w14:paraId="5B7A85E0" w14:textId="77777777" w:rsidR="000E2E95" w:rsidRPr="005669CE" w:rsidRDefault="00DB0A1C" w:rsidP="00CE74C2">
            <w:pPr>
              <w:pStyle w:val="TableParagraph"/>
              <w:spacing w:before="35"/>
              <w:ind w:left="11" w:right="2"/>
              <w:jc w:val="both"/>
            </w:pPr>
            <w:r w:rsidRPr="005669CE">
              <w:rPr>
                <w:lang w:val="fr-FR"/>
              </w:rPr>
              <w:t>10</w:t>
            </w:r>
          </w:p>
        </w:tc>
        <w:tc>
          <w:tcPr>
            <w:tcW w:w="2059" w:type="dxa"/>
          </w:tcPr>
          <w:p w14:paraId="066EC270" w14:textId="77777777" w:rsidR="000E2E95" w:rsidRPr="005669CE" w:rsidRDefault="00DB0A1C" w:rsidP="00CE74C2">
            <w:pPr>
              <w:pStyle w:val="TableParagraph"/>
              <w:spacing w:before="35"/>
              <w:ind w:left="16"/>
              <w:jc w:val="both"/>
              <w:rPr>
                <w:b/>
              </w:rPr>
            </w:pPr>
            <w:proofErr w:type="spellStart"/>
            <w:proofErr w:type="gramStart"/>
            <w:r w:rsidRPr="005669CE">
              <w:rPr>
                <w:b/>
                <w:bCs/>
                <w:spacing w:val="-2"/>
                <w:lang w:val="fr-FR"/>
              </w:rPr>
              <w:t>u</w:t>
            </w:r>
            <w:proofErr w:type="gramEnd"/>
            <w:r w:rsidRPr="005669CE">
              <w:rPr>
                <w:b/>
                <w:bCs/>
                <w:spacing w:val="-2"/>
                <w:lang w:val="fr-FR"/>
              </w:rPr>
              <w:t>_remarks</w:t>
            </w:r>
            <w:proofErr w:type="spellEnd"/>
          </w:p>
        </w:tc>
        <w:tc>
          <w:tcPr>
            <w:tcW w:w="3787" w:type="dxa"/>
          </w:tcPr>
          <w:p w14:paraId="6225F0EB" w14:textId="77777777" w:rsidR="000E2E95" w:rsidRPr="005669CE" w:rsidRDefault="00DB0A1C" w:rsidP="00CE74C2">
            <w:pPr>
              <w:pStyle w:val="TableParagraph"/>
              <w:spacing w:before="35"/>
              <w:ind w:left="15"/>
              <w:jc w:val="both"/>
            </w:pPr>
            <w:r w:rsidRPr="005669CE">
              <w:rPr>
                <w:lang w:val="fr-FR"/>
              </w:rPr>
              <w:t>Commentaire supplémentaire</w:t>
            </w:r>
          </w:p>
        </w:tc>
        <w:tc>
          <w:tcPr>
            <w:tcW w:w="2419" w:type="dxa"/>
          </w:tcPr>
          <w:p w14:paraId="649843FB" w14:textId="77777777" w:rsidR="000E2E95" w:rsidRPr="005669CE" w:rsidRDefault="000E2E95" w:rsidP="00CE74C2">
            <w:pPr>
              <w:pStyle w:val="TableParagraph"/>
              <w:jc w:val="both"/>
              <w:rPr>
                <w:rFonts w:ascii="Times New Roman"/>
              </w:rPr>
            </w:pPr>
          </w:p>
        </w:tc>
      </w:tr>
    </w:tbl>
    <w:p w14:paraId="5EFBEC3A" w14:textId="77777777" w:rsidR="000E2E95" w:rsidRPr="005669CE" w:rsidRDefault="000E2E95" w:rsidP="00341A0D">
      <w:pPr>
        <w:pStyle w:val="BodyText"/>
      </w:pPr>
    </w:p>
    <w:p w14:paraId="01A24929" w14:textId="77777777" w:rsidR="000E2E95" w:rsidRPr="005669CE" w:rsidRDefault="000E2E95" w:rsidP="00341A0D">
      <w:pPr>
        <w:pStyle w:val="BodyText"/>
      </w:pPr>
    </w:p>
    <w:p w14:paraId="49DD6670" w14:textId="77777777" w:rsidR="005D49E9" w:rsidRPr="005669CE" w:rsidRDefault="00DB0A1C">
      <w:pPr>
        <w:rPr>
          <w:rFonts w:ascii="Calibri Light" w:eastAsia="Calibri Light" w:hAnsi="Calibri Light" w:cs="Calibri Light"/>
          <w:color w:val="2E5395"/>
          <w:sz w:val="32"/>
          <w:szCs w:val="32"/>
        </w:rPr>
      </w:pPr>
      <w:bookmarkStart w:id="59" w:name="_bookmark25"/>
      <w:bookmarkEnd w:id="59"/>
      <w:r w:rsidRPr="005669CE">
        <w:rPr>
          <w:lang w:val="fr-FR"/>
        </w:rPr>
        <w:br w:type="page"/>
      </w:r>
    </w:p>
    <w:p w14:paraId="4DAFA789" w14:textId="77777777" w:rsidR="000E2E95" w:rsidRPr="005669CE" w:rsidRDefault="00DB0A1C" w:rsidP="003F1F88">
      <w:pPr>
        <w:pStyle w:val="Heading2"/>
      </w:pPr>
      <w:bookmarkStart w:id="60" w:name="_Toc181011885"/>
      <w:r w:rsidRPr="005669CE">
        <w:rPr>
          <w:lang w:val="fr-FR"/>
        </w:rPr>
        <w:lastRenderedPageBreak/>
        <w:t>Formulaire Kato-Katz (électronique)</w:t>
      </w:r>
      <w:bookmarkEnd w:id="60"/>
    </w:p>
    <w:p w14:paraId="66BB17B2" w14:textId="77777777" w:rsidR="000E2E95" w:rsidRPr="005669CE" w:rsidRDefault="000E2E95" w:rsidP="00341A0D">
      <w:pPr>
        <w:pStyle w:val="BodyText"/>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7"/>
        <w:gridCol w:w="2148"/>
        <w:gridCol w:w="3765"/>
        <w:gridCol w:w="2419"/>
      </w:tblGrid>
      <w:tr w:rsidR="000C10E3" w14:paraId="5EEFDF94" w14:textId="77777777">
        <w:trPr>
          <w:trHeight w:val="359"/>
        </w:trPr>
        <w:tc>
          <w:tcPr>
            <w:tcW w:w="1027" w:type="dxa"/>
          </w:tcPr>
          <w:p w14:paraId="3288FB34" w14:textId="77777777" w:rsidR="000E2E95" w:rsidRPr="005669CE" w:rsidRDefault="00DB0A1C" w:rsidP="00CE74C2">
            <w:pPr>
              <w:pStyle w:val="TableParagraph"/>
              <w:spacing w:before="42"/>
              <w:ind w:left="14"/>
              <w:jc w:val="both"/>
              <w:rPr>
                <w:b/>
              </w:rPr>
            </w:pPr>
            <w:r w:rsidRPr="005669CE">
              <w:rPr>
                <w:b/>
                <w:bCs/>
                <w:spacing w:val="-2"/>
                <w:lang w:val="fr-FR"/>
              </w:rPr>
              <w:t>Question</w:t>
            </w:r>
          </w:p>
        </w:tc>
        <w:tc>
          <w:tcPr>
            <w:tcW w:w="2148" w:type="dxa"/>
          </w:tcPr>
          <w:p w14:paraId="4C19D72D" w14:textId="77777777" w:rsidR="000E2E95" w:rsidRPr="005669CE" w:rsidRDefault="00DB0A1C" w:rsidP="00CE74C2">
            <w:pPr>
              <w:pStyle w:val="TableParagraph"/>
              <w:spacing w:before="42"/>
              <w:ind w:left="14"/>
              <w:jc w:val="both"/>
              <w:rPr>
                <w:b/>
              </w:rPr>
            </w:pPr>
            <w:r w:rsidRPr="005669CE">
              <w:rPr>
                <w:b/>
                <w:bCs/>
                <w:spacing w:val="-2"/>
                <w:lang w:val="fr-FR"/>
              </w:rPr>
              <w:t>Variable</w:t>
            </w:r>
          </w:p>
        </w:tc>
        <w:tc>
          <w:tcPr>
            <w:tcW w:w="3765" w:type="dxa"/>
          </w:tcPr>
          <w:p w14:paraId="1660B8A9" w14:textId="77777777" w:rsidR="000E2E95" w:rsidRPr="005669CE" w:rsidRDefault="00DB0A1C" w:rsidP="00CE74C2">
            <w:pPr>
              <w:pStyle w:val="TableParagraph"/>
              <w:spacing w:before="42"/>
              <w:ind w:left="14"/>
              <w:jc w:val="both"/>
              <w:rPr>
                <w:b/>
              </w:rPr>
            </w:pPr>
            <w:r w:rsidRPr="005669CE">
              <w:rPr>
                <w:b/>
                <w:bCs/>
                <w:spacing w:val="-2"/>
                <w:lang w:val="fr-FR"/>
              </w:rPr>
              <w:t>Étiquette</w:t>
            </w:r>
          </w:p>
        </w:tc>
        <w:tc>
          <w:tcPr>
            <w:tcW w:w="2419" w:type="dxa"/>
          </w:tcPr>
          <w:p w14:paraId="1798E0AC" w14:textId="77777777" w:rsidR="000E2E95" w:rsidRPr="005669CE" w:rsidRDefault="00DB0A1C" w:rsidP="00CE74C2">
            <w:pPr>
              <w:pStyle w:val="TableParagraph"/>
              <w:spacing w:before="42"/>
              <w:ind w:left="15"/>
              <w:jc w:val="both"/>
              <w:rPr>
                <w:b/>
              </w:rPr>
            </w:pPr>
            <w:r w:rsidRPr="005669CE">
              <w:rPr>
                <w:b/>
                <w:bCs/>
                <w:lang w:val="fr-FR"/>
              </w:rPr>
              <w:t>Valeur saisie</w:t>
            </w:r>
          </w:p>
        </w:tc>
      </w:tr>
      <w:tr w:rsidR="000C10E3" w14:paraId="36A2FFBB" w14:textId="77777777">
        <w:trPr>
          <w:trHeight w:val="359"/>
        </w:trPr>
        <w:tc>
          <w:tcPr>
            <w:tcW w:w="1027" w:type="dxa"/>
          </w:tcPr>
          <w:p w14:paraId="33611A57" w14:textId="77777777" w:rsidR="000E2E95" w:rsidRPr="005669CE" w:rsidRDefault="00DB0A1C" w:rsidP="00CE74C2">
            <w:pPr>
              <w:pStyle w:val="TableParagraph"/>
              <w:spacing w:before="68"/>
              <w:ind w:left="9" w:right="3"/>
              <w:jc w:val="both"/>
            </w:pPr>
            <w:r w:rsidRPr="005669CE">
              <w:rPr>
                <w:lang w:val="fr-FR"/>
              </w:rPr>
              <w:t>1</w:t>
            </w:r>
          </w:p>
        </w:tc>
        <w:tc>
          <w:tcPr>
            <w:tcW w:w="2148" w:type="dxa"/>
          </w:tcPr>
          <w:p w14:paraId="2F3C52D3"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_microscopist_id</w:t>
            </w:r>
            <w:proofErr w:type="spellEnd"/>
          </w:p>
        </w:tc>
        <w:tc>
          <w:tcPr>
            <w:tcW w:w="3765" w:type="dxa"/>
          </w:tcPr>
          <w:p w14:paraId="38422C9D" w14:textId="77777777" w:rsidR="000E2E95" w:rsidRPr="005669CE" w:rsidRDefault="00DB0A1C" w:rsidP="00CE74C2">
            <w:pPr>
              <w:pStyle w:val="TableParagraph"/>
              <w:spacing w:before="42"/>
              <w:ind w:left="14"/>
              <w:jc w:val="both"/>
            </w:pPr>
            <w:r w:rsidRPr="005669CE">
              <w:rPr>
                <w:lang w:val="fr-FR"/>
              </w:rPr>
              <w:t>ID du microscopiste</w:t>
            </w:r>
          </w:p>
        </w:tc>
        <w:tc>
          <w:tcPr>
            <w:tcW w:w="2419" w:type="dxa"/>
          </w:tcPr>
          <w:p w14:paraId="5DB65335" w14:textId="77777777" w:rsidR="000E2E95" w:rsidRPr="005669CE" w:rsidRDefault="00DB0A1C" w:rsidP="00CE74C2">
            <w:pPr>
              <w:pStyle w:val="TableParagraph"/>
              <w:spacing w:before="42"/>
              <w:ind w:left="66"/>
              <w:jc w:val="both"/>
            </w:pPr>
            <w:r w:rsidRPr="005669CE">
              <w:rPr>
                <w:lang w:val="fr-FR"/>
              </w:rPr>
              <w:t>A partir d’une liste préremplie</w:t>
            </w:r>
          </w:p>
        </w:tc>
      </w:tr>
      <w:tr w:rsidR="000C10E3" w14:paraId="39034632" w14:textId="77777777">
        <w:trPr>
          <w:trHeight w:val="359"/>
        </w:trPr>
        <w:tc>
          <w:tcPr>
            <w:tcW w:w="1027" w:type="dxa"/>
          </w:tcPr>
          <w:p w14:paraId="26397CDB" w14:textId="77777777" w:rsidR="000E2E95" w:rsidRPr="005669CE" w:rsidRDefault="00DB0A1C" w:rsidP="00CE74C2">
            <w:pPr>
              <w:pStyle w:val="TableParagraph"/>
              <w:spacing w:before="71"/>
              <w:ind w:left="9" w:right="3"/>
              <w:jc w:val="both"/>
            </w:pPr>
            <w:r w:rsidRPr="005669CE">
              <w:rPr>
                <w:lang w:val="fr-FR"/>
              </w:rPr>
              <w:t>2</w:t>
            </w:r>
          </w:p>
        </w:tc>
        <w:tc>
          <w:tcPr>
            <w:tcW w:w="2148" w:type="dxa"/>
          </w:tcPr>
          <w:p w14:paraId="0677A1D2"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_district</w:t>
            </w:r>
            <w:proofErr w:type="spellEnd"/>
          </w:p>
        </w:tc>
        <w:tc>
          <w:tcPr>
            <w:tcW w:w="3765" w:type="dxa"/>
          </w:tcPr>
          <w:p w14:paraId="3687BAF9" w14:textId="77777777" w:rsidR="000E2E95" w:rsidRPr="005669CE" w:rsidRDefault="00DB0A1C" w:rsidP="00CE74C2">
            <w:pPr>
              <w:pStyle w:val="TableParagraph"/>
              <w:spacing w:before="42"/>
              <w:ind w:left="14"/>
              <w:jc w:val="both"/>
            </w:pPr>
            <w:r w:rsidRPr="005669CE">
              <w:rPr>
                <w:lang w:val="fr-FR"/>
              </w:rPr>
              <w:t>Sélectionner le district</w:t>
            </w:r>
          </w:p>
        </w:tc>
        <w:tc>
          <w:tcPr>
            <w:tcW w:w="2419" w:type="dxa"/>
          </w:tcPr>
          <w:p w14:paraId="101CB974" w14:textId="77777777" w:rsidR="000E2E95" w:rsidRPr="005669CE" w:rsidRDefault="00DB0A1C" w:rsidP="00CE74C2">
            <w:pPr>
              <w:pStyle w:val="TableParagraph"/>
              <w:spacing w:before="42"/>
              <w:ind w:left="66"/>
              <w:jc w:val="both"/>
            </w:pPr>
            <w:r w:rsidRPr="005669CE">
              <w:rPr>
                <w:lang w:val="fr-FR"/>
              </w:rPr>
              <w:t>A partir d’une liste préremplie</w:t>
            </w:r>
          </w:p>
        </w:tc>
      </w:tr>
      <w:tr w:rsidR="000C10E3" w14:paraId="3606A5CD" w14:textId="77777777">
        <w:trPr>
          <w:trHeight w:val="361"/>
        </w:trPr>
        <w:tc>
          <w:tcPr>
            <w:tcW w:w="1027" w:type="dxa"/>
          </w:tcPr>
          <w:p w14:paraId="4DA8C8B3" w14:textId="77777777" w:rsidR="000E2E95" w:rsidRPr="005669CE" w:rsidRDefault="00DB0A1C" w:rsidP="00CE74C2">
            <w:pPr>
              <w:pStyle w:val="TableParagraph"/>
              <w:spacing w:before="71"/>
              <w:ind w:left="9" w:right="3"/>
              <w:jc w:val="both"/>
            </w:pPr>
            <w:r w:rsidRPr="005669CE">
              <w:rPr>
                <w:lang w:val="fr-FR"/>
              </w:rPr>
              <w:t>3</w:t>
            </w:r>
          </w:p>
        </w:tc>
        <w:tc>
          <w:tcPr>
            <w:tcW w:w="2148" w:type="dxa"/>
          </w:tcPr>
          <w:p w14:paraId="5F286161"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_subdistrict</w:t>
            </w:r>
            <w:proofErr w:type="spellEnd"/>
          </w:p>
        </w:tc>
        <w:tc>
          <w:tcPr>
            <w:tcW w:w="3765" w:type="dxa"/>
          </w:tcPr>
          <w:p w14:paraId="2B2CA4B9" w14:textId="77777777" w:rsidR="000E2E95" w:rsidRPr="005669CE" w:rsidRDefault="00DB0A1C" w:rsidP="00CE74C2">
            <w:pPr>
              <w:pStyle w:val="TableParagraph"/>
              <w:spacing w:before="42"/>
              <w:ind w:left="14"/>
              <w:jc w:val="both"/>
            </w:pPr>
            <w:r w:rsidRPr="005669CE">
              <w:rPr>
                <w:lang w:val="fr-FR"/>
              </w:rPr>
              <w:t>Sélectionner le sous-district</w:t>
            </w:r>
          </w:p>
        </w:tc>
        <w:tc>
          <w:tcPr>
            <w:tcW w:w="2419" w:type="dxa"/>
          </w:tcPr>
          <w:p w14:paraId="6AB828EB" w14:textId="77777777" w:rsidR="000E2E95" w:rsidRPr="005669CE" w:rsidRDefault="00DB0A1C" w:rsidP="00CE74C2">
            <w:pPr>
              <w:pStyle w:val="TableParagraph"/>
              <w:spacing w:before="42"/>
              <w:ind w:left="66"/>
              <w:jc w:val="both"/>
            </w:pPr>
            <w:r w:rsidRPr="005669CE">
              <w:rPr>
                <w:lang w:val="fr-FR"/>
              </w:rPr>
              <w:t>A partir d’une liste préremplie</w:t>
            </w:r>
          </w:p>
        </w:tc>
      </w:tr>
      <w:tr w:rsidR="000C10E3" w14:paraId="15CB5C48" w14:textId="77777777">
        <w:trPr>
          <w:trHeight w:val="359"/>
        </w:trPr>
        <w:tc>
          <w:tcPr>
            <w:tcW w:w="1027" w:type="dxa"/>
          </w:tcPr>
          <w:p w14:paraId="38136890" w14:textId="77777777" w:rsidR="000E2E95" w:rsidRPr="005669CE" w:rsidRDefault="00DB0A1C" w:rsidP="00CE74C2">
            <w:pPr>
              <w:pStyle w:val="TableParagraph"/>
              <w:spacing w:before="68"/>
              <w:ind w:left="9" w:right="3"/>
              <w:jc w:val="both"/>
            </w:pPr>
            <w:r w:rsidRPr="005669CE">
              <w:rPr>
                <w:lang w:val="fr-FR"/>
              </w:rPr>
              <w:t>4</w:t>
            </w:r>
          </w:p>
        </w:tc>
        <w:tc>
          <w:tcPr>
            <w:tcW w:w="2148" w:type="dxa"/>
          </w:tcPr>
          <w:p w14:paraId="5B9F33E7" w14:textId="77777777" w:rsidR="000E2E95" w:rsidRPr="005669CE" w:rsidRDefault="00DB0A1C" w:rsidP="00CE74C2">
            <w:pPr>
              <w:pStyle w:val="TableParagraph"/>
              <w:spacing w:before="40"/>
              <w:ind w:left="14"/>
              <w:jc w:val="both"/>
              <w:rPr>
                <w:b/>
              </w:rPr>
            </w:pPr>
            <w:proofErr w:type="spellStart"/>
            <w:proofErr w:type="gramStart"/>
            <w:r w:rsidRPr="005669CE">
              <w:rPr>
                <w:b/>
                <w:bCs/>
                <w:spacing w:val="-2"/>
                <w:lang w:val="fr-FR"/>
              </w:rPr>
              <w:t>k</w:t>
            </w:r>
            <w:proofErr w:type="gramEnd"/>
            <w:r w:rsidRPr="005669CE">
              <w:rPr>
                <w:b/>
                <w:bCs/>
                <w:spacing w:val="-2"/>
                <w:lang w:val="fr-FR"/>
              </w:rPr>
              <w:t>_school_name</w:t>
            </w:r>
            <w:proofErr w:type="spellEnd"/>
          </w:p>
        </w:tc>
        <w:tc>
          <w:tcPr>
            <w:tcW w:w="3765" w:type="dxa"/>
          </w:tcPr>
          <w:p w14:paraId="05970BB9" w14:textId="77777777" w:rsidR="000E2E95" w:rsidRPr="005669CE" w:rsidRDefault="00DB0A1C" w:rsidP="00CE74C2">
            <w:pPr>
              <w:pStyle w:val="TableParagraph"/>
              <w:spacing w:before="40"/>
              <w:ind w:left="14"/>
              <w:jc w:val="both"/>
            </w:pPr>
            <w:r w:rsidRPr="005669CE">
              <w:rPr>
                <w:lang w:val="fr-FR"/>
              </w:rPr>
              <w:t>Sélectionner le nom de l’école</w:t>
            </w:r>
          </w:p>
        </w:tc>
        <w:tc>
          <w:tcPr>
            <w:tcW w:w="2419" w:type="dxa"/>
          </w:tcPr>
          <w:p w14:paraId="0EA973C7" w14:textId="77777777" w:rsidR="000E2E95" w:rsidRPr="005669CE" w:rsidRDefault="00DB0A1C" w:rsidP="00CE74C2">
            <w:pPr>
              <w:pStyle w:val="TableParagraph"/>
              <w:spacing w:before="40"/>
              <w:ind w:left="66"/>
              <w:jc w:val="both"/>
            </w:pPr>
            <w:r w:rsidRPr="005669CE">
              <w:rPr>
                <w:lang w:val="fr-FR"/>
              </w:rPr>
              <w:t>A partir d’une liste préremplie</w:t>
            </w:r>
          </w:p>
        </w:tc>
      </w:tr>
      <w:tr w:rsidR="000C10E3" w14:paraId="5F2DF774" w14:textId="77777777">
        <w:trPr>
          <w:trHeight w:val="594"/>
        </w:trPr>
        <w:tc>
          <w:tcPr>
            <w:tcW w:w="1027" w:type="dxa"/>
          </w:tcPr>
          <w:p w14:paraId="359FF878" w14:textId="77777777" w:rsidR="000E2E95" w:rsidRPr="005669CE" w:rsidRDefault="000E2E95" w:rsidP="00CE74C2">
            <w:pPr>
              <w:pStyle w:val="TableParagraph"/>
              <w:jc w:val="both"/>
              <w:rPr>
                <w:rFonts w:ascii="Times New Roman"/>
              </w:rPr>
            </w:pPr>
          </w:p>
        </w:tc>
        <w:tc>
          <w:tcPr>
            <w:tcW w:w="2148" w:type="dxa"/>
          </w:tcPr>
          <w:p w14:paraId="550BE3EA" w14:textId="77777777" w:rsidR="000E2E95" w:rsidRPr="005669CE" w:rsidRDefault="00DB0A1C" w:rsidP="00CE74C2">
            <w:pPr>
              <w:pStyle w:val="TableParagraph"/>
              <w:spacing w:before="157"/>
              <w:ind w:left="14"/>
              <w:jc w:val="both"/>
              <w:rPr>
                <w:b/>
              </w:rPr>
            </w:pPr>
            <w:proofErr w:type="spellStart"/>
            <w:proofErr w:type="gramStart"/>
            <w:r w:rsidRPr="005669CE">
              <w:rPr>
                <w:b/>
                <w:bCs/>
                <w:spacing w:val="-2"/>
                <w:lang w:val="fr-FR"/>
              </w:rPr>
              <w:t>k</w:t>
            </w:r>
            <w:proofErr w:type="gramEnd"/>
            <w:r w:rsidRPr="005669CE">
              <w:rPr>
                <w:b/>
                <w:bCs/>
                <w:spacing w:val="-2"/>
                <w:lang w:val="fr-FR"/>
              </w:rPr>
              <w:t>_samples_batch</w:t>
            </w:r>
            <w:proofErr w:type="spellEnd"/>
          </w:p>
        </w:tc>
        <w:tc>
          <w:tcPr>
            <w:tcW w:w="3765" w:type="dxa"/>
          </w:tcPr>
          <w:p w14:paraId="44337D6C" w14:textId="77777777" w:rsidR="000E2E95" w:rsidRPr="005669CE" w:rsidRDefault="00DB0A1C" w:rsidP="00CE74C2">
            <w:pPr>
              <w:pStyle w:val="TableParagraph"/>
              <w:spacing w:before="13"/>
              <w:ind w:left="14"/>
              <w:jc w:val="both"/>
            </w:pPr>
            <w:r w:rsidRPr="005669CE">
              <w:rPr>
                <w:lang w:val="fr-FR"/>
              </w:rPr>
              <w:t>Combien d’échantillons ont été prélevés dans cette</w:t>
            </w:r>
          </w:p>
          <w:p w14:paraId="065F63EA" w14:textId="77777777" w:rsidR="000E2E95" w:rsidRPr="005669CE" w:rsidRDefault="00DB0A1C" w:rsidP="00CE74C2">
            <w:pPr>
              <w:pStyle w:val="TableParagraph"/>
              <w:spacing w:before="22"/>
              <w:ind w:left="14"/>
              <w:jc w:val="both"/>
            </w:pPr>
            <w:proofErr w:type="gramStart"/>
            <w:r w:rsidRPr="005669CE">
              <w:rPr>
                <w:lang w:val="fr-FR"/>
              </w:rPr>
              <w:t>école</w:t>
            </w:r>
            <w:proofErr w:type="gramEnd"/>
            <w:r w:rsidRPr="005669CE">
              <w:rPr>
                <w:lang w:val="fr-FR"/>
              </w:rPr>
              <w:t> ?</w:t>
            </w:r>
          </w:p>
        </w:tc>
        <w:tc>
          <w:tcPr>
            <w:tcW w:w="2419" w:type="dxa"/>
          </w:tcPr>
          <w:p w14:paraId="1488CD05" w14:textId="77777777" w:rsidR="000E2E95" w:rsidRPr="005669CE" w:rsidRDefault="00DB0A1C" w:rsidP="00CE74C2">
            <w:pPr>
              <w:pStyle w:val="TableParagraph"/>
              <w:spacing w:before="157"/>
              <w:ind w:left="15"/>
              <w:jc w:val="both"/>
            </w:pPr>
            <w:r w:rsidRPr="005669CE">
              <w:rPr>
                <w:lang w:val="fr-FR"/>
              </w:rPr>
              <w:t>Valeur numérique restreinte (1 à 32)</w:t>
            </w:r>
          </w:p>
        </w:tc>
      </w:tr>
      <w:tr w:rsidR="000C10E3" w14:paraId="6A471478" w14:textId="77777777">
        <w:trPr>
          <w:trHeight w:val="359"/>
        </w:trPr>
        <w:tc>
          <w:tcPr>
            <w:tcW w:w="9359" w:type="dxa"/>
            <w:gridSpan w:val="4"/>
          </w:tcPr>
          <w:p w14:paraId="017B17A7" w14:textId="77777777" w:rsidR="000E2E95" w:rsidRPr="005669CE" w:rsidRDefault="00DB0A1C" w:rsidP="00CE74C2">
            <w:pPr>
              <w:pStyle w:val="TableParagraph"/>
              <w:spacing w:before="68"/>
              <w:ind w:left="14"/>
              <w:jc w:val="both"/>
              <w:rPr>
                <w:b/>
                <w:i/>
              </w:rPr>
            </w:pPr>
            <w:r w:rsidRPr="005669CE">
              <w:rPr>
                <w:b/>
                <w:bCs/>
                <w:i/>
                <w:iCs/>
                <w:lang w:val="fr-FR"/>
              </w:rPr>
              <w:t>Ouvrir la boucle de sorte qu’il y ait des réponses pour n échantillons</w:t>
            </w:r>
          </w:p>
        </w:tc>
      </w:tr>
      <w:tr w:rsidR="000C10E3" w14:paraId="25DB4933" w14:textId="77777777">
        <w:trPr>
          <w:trHeight w:val="359"/>
        </w:trPr>
        <w:tc>
          <w:tcPr>
            <w:tcW w:w="1027" w:type="dxa"/>
          </w:tcPr>
          <w:p w14:paraId="43E91F47" w14:textId="77777777" w:rsidR="000E2E95" w:rsidRPr="005669CE" w:rsidRDefault="00DB0A1C" w:rsidP="00CE74C2">
            <w:pPr>
              <w:pStyle w:val="TableParagraph"/>
              <w:spacing w:before="69"/>
              <w:ind w:left="9" w:right="3"/>
              <w:jc w:val="both"/>
            </w:pPr>
            <w:r w:rsidRPr="005669CE">
              <w:rPr>
                <w:lang w:val="fr-FR"/>
              </w:rPr>
              <w:t>5</w:t>
            </w:r>
          </w:p>
        </w:tc>
        <w:tc>
          <w:tcPr>
            <w:tcW w:w="2148" w:type="dxa"/>
          </w:tcPr>
          <w:p w14:paraId="6161CA5F"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_participant_ID</w:t>
            </w:r>
            <w:proofErr w:type="spellEnd"/>
          </w:p>
        </w:tc>
        <w:tc>
          <w:tcPr>
            <w:tcW w:w="3765" w:type="dxa"/>
          </w:tcPr>
          <w:p w14:paraId="7F9D87B5" w14:textId="77777777" w:rsidR="000E2E95" w:rsidRPr="005669CE" w:rsidRDefault="00DB0A1C" w:rsidP="00CE74C2">
            <w:pPr>
              <w:pStyle w:val="TableParagraph"/>
              <w:spacing w:before="42"/>
              <w:ind w:left="14"/>
              <w:jc w:val="both"/>
            </w:pPr>
            <w:r w:rsidRPr="005669CE">
              <w:rPr>
                <w:lang w:val="fr-FR"/>
              </w:rPr>
              <w:t>Saisir l’identifiant du participant</w:t>
            </w:r>
          </w:p>
        </w:tc>
        <w:tc>
          <w:tcPr>
            <w:tcW w:w="2419" w:type="dxa"/>
          </w:tcPr>
          <w:p w14:paraId="596C2BDB" w14:textId="77777777" w:rsidR="000E2E95" w:rsidRPr="005669CE" w:rsidRDefault="00DB0A1C" w:rsidP="00CE74C2">
            <w:pPr>
              <w:pStyle w:val="TableParagraph"/>
              <w:spacing w:before="42"/>
              <w:ind w:left="66"/>
              <w:jc w:val="both"/>
            </w:pPr>
            <w:r w:rsidRPr="005669CE">
              <w:rPr>
                <w:lang w:val="fr-FR"/>
              </w:rPr>
              <w:t>Valeur numérique restreinte (1-n)</w:t>
            </w:r>
          </w:p>
        </w:tc>
      </w:tr>
      <w:tr w:rsidR="000C10E3" w14:paraId="64F28EEE" w14:textId="77777777">
        <w:trPr>
          <w:trHeight w:val="359"/>
        </w:trPr>
        <w:tc>
          <w:tcPr>
            <w:tcW w:w="1027" w:type="dxa"/>
          </w:tcPr>
          <w:p w14:paraId="6893FECB" w14:textId="77777777" w:rsidR="000E2E95" w:rsidRPr="005669CE" w:rsidRDefault="00DB0A1C" w:rsidP="00CE74C2">
            <w:pPr>
              <w:pStyle w:val="TableParagraph"/>
              <w:spacing w:before="68"/>
              <w:ind w:left="9" w:right="3"/>
              <w:jc w:val="both"/>
            </w:pPr>
            <w:r w:rsidRPr="005669CE">
              <w:rPr>
                <w:lang w:val="fr-FR"/>
              </w:rPr>
              <w:t>6</w:t>
            </w:r>
          </w:p>
        </w:tc>
        <w:tc>
          <w:tcPr>
            <w:tcW w:w="2148" w:type="dxa"/>
          </w:tcPr>
          <w:p w14:paraId="10A2A6B6" w14:textId="77777777" w:rsidR="000E2E95" w:rsidRPr="005669CE" w:rsidRDefault="00DB0A1C" w:rsidP="00CE74C2">
            <w:pPr>
              <w:pStyle w:val="TableParagraph"/>
              <w:spacing w:before="42"/>
              <w:ind w:left="14"/>
              <w:jc w:val="both"/>
              <w:rPr>
                <w:b/>
              </w:rPr>
            </w:pPr>
            <w:proofErr w:type="gramStart"/>
            <w:r w:rsidRPr="005669CE">
              <w:rPr>
                <w:b/>
                <w:bCs/>
                <w:spacing w:val="-2"/>
                <w:lang w:val="fr-FR"/>
              </w:rPr>
              <w:t>k</w:t>
            </w:r>
            <w:proofErr w:type="gramEnd"/>
            <w:r w:rsidRPr="005669CE">
              <w:rPr>
                <w:b/>
                <w:bCs/>
                <w:spacing w:val="-2"/>
                <w:lang w:val="fr-FR"/>
              </w:rPr>
              <w:t>_participant_ID2</w:t>
            </w:r>
          </w:p>
        </w:tc>
        <w:tc>
          <w:tcPr>
            <w:tcW w:w="3765" w:type="dxa"/>
          </w:tcPr>
          <w:p w14:paraId="4AE25C59" w14:textId="77777777" w:rsidR="000E2E95" w:rsidRPr="005669CE" w:rsidRDefault="00DB0A1C" w:rsidP="00CE74C2">
            <w:pPr>
              <w:pStyle w:val="TableParagraph"/>
              <w:spacing w:before="42"/>
              <w:ind w:left="14"/>
              <w:jc w:val="both"/>
            </w:pPr>
            <w:r w:rsidRPr="005669CE">
              <w:rPr>
                <w:lang w:val="fr-FR"/>
              </w:rPr>
              <w:t>Saisir à nouveau l’identifiant</w:t>
            </w:r>
          </w:p>
        </w:tc>
        <w:tc>
          <w:tcPr>
            <w:tcW w:w="2419" w:type="dxa"/>
          </w:tcPr>
          <w:p w14:paraId="68FDA011" w14:textId="77777777" w:rsidR="000E2E95" w:rsidRPr="005669CE" w:rsidRDefault="00DB0A1C" w:rsidP="00CE74C2">
            <w:pPr>
              <w:pStyle w:val="TableParagraph"/>
              <w:spacing w:before="42"/>
              <w:ind w:left="66"/>
              <w:jc w:val="both"/>
            </w:pPr>
            <w:r w:rsidRPr="005669CE">
              <w:rPr>
                <w:lang w:val="fr-FR"/>
              </w:rPr>
              <w:t>Valeur numérique restreinte (1-n)</w:t>
            </w:r>
          </w:p>
        </w:tc>
      </w:tr>
      <w:tr w:rsidR="000C10E3" w14:paraId="2E90F085" w14:textId="77777777">
        <w:trPr>
          <w:trHeight w:val="359"/>
        </w:trPr>
        <w:tc>
          <w:tcPr>
            <w:tcW w:w="1027" w:type="dxa"/>
          </w:tcPr>
          <w:p w14:paraId="486229BC" w14:textId="77777777" w:rsidR="000E2E95" w:rsidRPr="005669CE" w:rsidRDefault="00DB0A1C" w:rsidP="00CE74C2">
            <w:pPr>
              <w:pStyle w:val="TableParagraph"/>
              <w:spacing w:before="71"/>
              <w:ind w:left="9" w:right="3"/>
              <w:jc w:val="both"/>
            </w:pPr>
            <w:r w:rsidRPr="005669CE">
              <w:rPr>
                <w:lang w:val="fr-FR"/>
              </w:rPr>
              <w:t>7</w:t>
            </w:r>
          </w:p>
        </w:tc>
        <w:tc>
          <w:tcPr>
            <w:tcW w:w="2148" w:type="dxa"/>
          </w:tcPr>
          <w:p w14:paraId="78E7F300"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_sch_man_sa</w:t>
            </w:r>
            <w:proofErr w:type="spellEnd"/>
          </w:p>
        </w:tc>
        <w:tc>
          <w:tcPr>
            <w:tcW w:w="3765" w:type="dxa"/>
          </w:tcPr>
          <w:p w14:paraId="756241CE" w14:textId="77777777" w:rsidR="000E2E95" w:rsidRPr="005669CE" w:rsidRDefault="00DB0A1C" w:rsidP="00CE74C2">
            <w:pPr>
              <w:pStyle w:val="TableParagraph"/>
              <w:spacing w:before="42"/>
              <w:ind w:left="14"/>
              <w:jc w:val="both"/>
            </w:pPr>
            <w:proofErr w:type="spellStart"/>
            <w:r w:rsidRPr="005669CE">
              <w:rPr>
                <w:lang w:val="fr-FR"/>
              </w:rPr>
              <w:t>Schistosoma</w:t>
            </w:r>
            <w:proofErr w:type="spellEnd"/>
            <w:r w:rsidRPr="005669CE">
              <w:rPr>
                <w:lang w:val="fr-FR"/>
              </w:rPr>
              <w:t xml:space="preserve"> </w:t>
            </w:r>
            <w:proofErr w:type="spellStart"/>
            <w:r w:rsidRPr="005669CE">
              <w:rPr>
                <w:lang w:val="fr-FR"/>
              </w:rPr>
              <w:t>mansoni</w:t>
            </w:r>
            <w:proofErr w:type="spellEnd"/>
            <w:r w:rsidRPr="005669CE">
              <w:rPr>
                <w:lang w:val="fr-FR"/>
              </w:rPr>
              <w:t xml:space="preserve"> (œufs) - Diapositive A</w:t>
            </w:r>
          </w:p>
        </w:tc>
        <w:tc>
          <w:tcPr>
            <w:tcW w:w="2419" w:type="dxa"/>
          </w:tcPr>
          <w:p w14:paraId="558370F3" w14:textId="77777777" w:rsidR="000E2E95" w:rsidRPr="005669CE" w:rsidRDefault="000E2E95" w:rsidP="00CE74C2">
            <w:pPr>
              <w:pStyle w:val="TableParagraph"/>
              <w:jc w:val="both"/>
              <w:rPr>
                <w:rFonts w:ascii="Times New Roman"/>
              </w:rPr>
            </w:pPr>
          </w:p>
        </w:tc>
      </w:tr>
      <w:tr w:rsidR="000C10E3" w14:paraId="640B7158" w14:textId="77777777">
        <w:trPr>
          <w:trHeight w:val="362"/>
        </w:trPr>
        <w:tc>
          <w:tcPr>
            <w:tcW w:w="1027" w:type="dxa"/>
          </w:tcPr>
          <w:p w14:paraId="0967FAC8" w14:textId="77777777" w:rsidR="000E2E95" w:rsidRPr="005669CE" w:rsidRDefault="00DB0A1C" w:rsidP="00CE74C2">
            <w:pPr>
              <w:pStyle w:val="TableParagraph"/>
              <w:spacing w:before="71"/>
              <w:ind w:left="9" w:right="3"/>
              <w:jc w:val="both"/>
            </w:pPr>
            <w:r w:rsidRPr="005669CE">
              <w:rPr>
                <w:lang w:val="fr-FR"/>
              </w:rPr>
              <w:t>8</w:t>
            </w:r>
          </w:p>
        </w:tc>
        <w:tc>
          <w:tcPr>
            <w:tcW w:w="2148" w:type="dxa"/>
          </w:tcPr>
          <w:p w14:paraId="750C83AC"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_sch_man_sb</w:t>
            </w:r>
            <w:proofErr w:type="spellEnd"/>
          </w:p>
        </w:tc>
        <w:tc>
          <w:tcPr>
            <w:tcW w:w="3765" w:type="dxa"/>
          </w:tcPr>
          <w:p w14:paraId="7C246673" w14:textId="77777777" w:rsidR="000E2E95" w:rsidRPr="005669CE" w:rsidRDefault="00DB0A1C" w:rsidP="00CE74C2">
            <w:pPr>
              <w:pStyle w:val="TableParagraph"/>
              <w:spacing w:before="42"/>
              <w:ind w:left="14"/>
              <w:jc w:val="both"/>
            </w:pPr>
            <w:proofErr w:type="spellStart"/>
            <w:r w:rsidRPr="005669CE">
              <w:rPr>
                <w:lang w:val="fr-FR"/>
              </w:rPr>
              <w:t>Schistosoma</w:t>
            </w:r>
            <w:proofErr w:type="spellEnd"/>
            <w:r w:rsidRPr="005669CE">
              <w:rPr>
                <w:lang w:val="fr-FR"/>
              </w:rPr>
              <w:t xml:space="preserve"> </w:t>
            </w:r>
            <w:proofErr w:type="spellStart"/>
            <w:r w:rsidRPr="005669CE">
              <w:rPr>
                <w:lang w:val="fr-FR"/>
              </w:rPr>
              <w:t>mansoni</w:t>
            </w:r>
            <w:proofErr w:type="spellEnd"/>
            <w:r w:rsidRPr="005669CE">
              <w:rPr>
                <w:lang w:val="fr-FR"/>
              </w:rPr>
              <w:t xml:space="preserve"> (œufs) - Diapositive B</w:t>
            </w:r>
          </w:p>
        </w:tc>
        <w:tc>
          <w:tcPr>
            <w:tcW w:w="2419" w:type="dxa"/>
          </w:tcPr>
          <w:p w14:paraId="1B7B4B7B" w14:textId="77777777" w:rsidR="000E2E95" w:rsidRPr="005669CE" w:rsidRDefault="000E2E95" w:rsidP="00CE74C2">
            <w:pPr>
              <w:pStyle w:val="TableParagraph"/>
              <w:jc w:val="both"/>
              <w:rPr>
                <w:rFonts w:ascii="Times New Roman"/>
              </w:rPr>
            </w:pPr>
          </w:p>
        </w:tc>
      </w:tr>
    </w:tbl>
    <w:p w14:paraId="260817A2" w14:textId="77777777" w:rsidR="000E2E95" w:rsidRPr="005669CE" w:rsidRDefault="000E2E95" w:rsidP="00CE74C2">
      <w:pPr>
        <w:jc w:val="both"/>
        <w:rPr>
          <w:rFonts w:ascii="Times New Roman"/>
        </w:rPr>
        <w:sectPr w:rsidR="000E2E95" w:rsidRPr="005669CE"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7"/>
        <w:gridCol w:w="2148"/>
        <w:gridCol w:w="3765"/>
        <w:gridCol w:w="2419"/>
      </w:tblGrid>
      <w:tr w:rsidR="000C10E3" w14:paraId="2FB2D67C" w14:textId="77777777" w:rsidTr="5AD33FE0">
        <w:trPr>
          <w:trHeight w:val="359"/>
        </w:trPr>
        <w:tc>
          <w:tcPr>
            <w:tcW w:w="1027" w:type="dxa"/>
          </w:tcPr>
          <w:p w14:paraId="1F7F7373" w14:textId="77777777" w:rsidR="000E2E95" w:rsidRPr="005669CE" w:rsidRDefault="00DB0A1C" w:rsidP="00CE74C2">
            <w:pPr>
              <w:pStyle w:val="TableParagraph"/>
              <w:spacing w:before="68"/>
              <w:ind w:left="9" w:right="3"/>
              <w:jc w:val="both"/>
            </w:pPr>
            <w:r w:rsidRPr="005669CE">
              <w:rPr>
                <w:lang w:val="fr-FR"/>
              </w:rPr>
              <w:t>9</w:t>
            </w:r>
          </w:p>
        </w:tc>
        <w:tc>
          <w:tcPr>
            <w:tcW w:w="2148" w:type="dxa"/>
          </w:tcPr>
          <w:p w14:paraId="777CD532"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_ascaris_lumb_sa</w:t>
            </w:r>
            <w:proofErr w:type="spellEnd"/>
          </w:p>
        </w:tc>
        <w:tc>
          <w:tcPr>
            <w:tcW w:w="3765" w:type="dxa"/>
          </w:tcPr>
          <w:p w14:paraId="0B0BD7E1" w14:textId="77777777" w:rsidR="000E2E95" w:rsidRPr="005669CE" w:rsidRDefault="00DB0A1C" w:rsidP="00CE74C2">
            <w:pPr>
              <w:pStyle w:val="TableParagraph"/>
              <w:spacing w:before="42"/>
              <w:ind w:left="14"/>
              <w:jc w:val="both"/>
            </w:pPr>
            <w:r w:rsidRPr="005669CE">
              <w:rPr>
                <w:lang w:val="fr-FR"/>
              </w:rPr>
              <w:t>Ascaris lombricoïdes (œufs) - Diapositive A</w:t>
            </w:r>
          </w:p>
        </w:tc>
        <w:tc>
          <w:tcPr>
            <w:tcW w:w="2419" w:type="dxa"/>
          </w:tcPr>
          <w:p w14:paraId="606577D3" w14:textId="77777777" w:rsidR="000E2E95" w:rsidRPr="005669CE" w:rsidRDefault="000E2E95" w:rsidP="00CE74C2">
            <w:pPr>
              <w:pStyle w:val="TableParagraph"/>
              <w:jc w:val="both"/>
              <w:rPr>
                <w:rFonts w:ascii="Times New Roman"/>
              </w:rPr>
            </w:pPr>
          </w:p>
        </w:tc>
      </w:tr>
      <w:tr w:rsidR="000C10E3" w14:paraId="51CCB5F6" w14:textId="77777777" w:rsidTr="5AD33FE0">
        <w:trPr>
          <w:trHeight w:val="359"/>
        </w:trPr>
        <w:tc>
          <w:tcPr>
            <w:tcW w:w="1027" w:type="dxa"/>
          </w:tcPr>
          <w:p w14:paraId="7ADB1E0C" w14:textId="77777777" w:rsidR="000E2E95" w:rsidRPr="005669CE" w:rsidRDefault="00DB0A1C" w:rsidP="00CE74C2">
            <w:pPr>
              <w:pStyle w:val="TableParagraph"/>
              <w:spacing w:before="71"/>
              <w:ind w:left="9"/>
              <w:jc w:val="both"/>
            </w:pPr>
            <w:r w:rsidRPr="005669CE">
              <w:rPr>
                <w:lang w:val="fr-FR"/>
              </w:rPr>
              <w:t>10</w:t>
            </w:r>
          </w:p>
        </w:tc>
        <w:tc>
          <w:tcPr>
            <w:tcW w:w="2148" w:type="dxa"/>
          </w:tcPr>
          <w:p w14:paraId="431CABBE"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_ascaris_lumb_sb</w:t>
            </w:r>
            <w:proofErr w:type="spellEnd"/>
          </w:p>
        </w:tc>
        <w:tc>
          <w:tcPr>
            <w:tcW w:w="3765" w:type="dxa"/>
          </w:tcPr>
          <w:p w14:paraId="3DF57BC1" w14:textId="77777777" w:rsidR="000E2E95" w:rsidRPr="005669CE" w:rsidRDefault="00DB0A1C" w:rsidP="00CE74C2">
            <w:pPr>
              <w:pStyle w:val="TableParagraph"/>
              <w:spacing w:before="42"/>
              <w:ind w:left="14"/>
              <w:jc w:val="both"/>
            </w:pPr>
            <w:r w:rsidRPr="005669CE">
              <w:rPr>
                <w:lang w:val="fr-FR"/>
              </w:rPr>
              <w:t>Ascaris lombricoïdes (œufs) - Diapositive B</w:t>
            </w:r>
          </w:p>
        </w:tc>
        <w:tc>
          <w:tcPr>
            <w:tcW w:w="2419" w:type="dxa"/>
          </w:tcPr>
          <w:p w14:paraId="0D996BE4" w14:textId="77777777" w:rsidR="000E2E95" w:rsidRPr="005669CE" w:rsidRDefault="000E2E95" w:rsidP="00CE74C2">
            <w:pPr>
              <w:pStyle w:val="TableParagraph"/>
              <w:jc w:val="both"/>
              <w:rPr>
                <w:rFonts w:ascii="Times New Roman"/>
              </w:rPr>
            </w:pPr>
          </w:p>
        </w:tc>
      </w:tr>
      <w:tr w:rsidR="000C10E3" w14:paraId="34CAE163" w14:textId="77777777" w:rsidTr="5AD33FE0">
        <w:trPr>
          <w:trHeight w:val="361"/>
        </w:trPr>
        <w:tc>
          <w:tcPr>
            <w:tcW w:w="1027" w:type="dxa"/>
          </w:tcPr>
          <w:p w14:paraId="356D77AF" w14:textId="77777777" w:rsidR="000E2E95" w:rsidRPr="005669CE" w:rsidRDefault="00DB0A1C" w:rsidP="00CE74C2">
            <w:pPr>
              <w:pStyle w:val="TableParagraph"/>
              <w:spacing w:before="71"/>
              <w:ind w:left="9"/>
              <w:jc w:val="both"/>
            </w:pPr>
            <w:r w:rsidRPr="005669CE">
              <w:rPr>
                <w:lang w:val="fr-FR"/>
              </w:rPr>
              <w:t>11</w:t>
            </w:r>
          </w:p>
        </w:tc>
        <w:tc>
          <w:tcPr>
            <w:tcW w:w="2148" w:type="dxa"/>
          </w:tcPr>
          <w:p w14:paraId="43953BD5"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_hookworm_sa</w:t>
            </w:r>
            <w:proofErr w:type="spellEnd"/>
          </w:p>
        </w:tc>
        <w:tc>
          <w:tcPr>
            <w:tcW w:w="3765" w:type="dxa"/>
          </w:tcPr>
          <w:p w14:paraId="4F252A40" w14:textId="436A4B15" w:rsidR="000E2E95" w:rsidRPr="005669CE" w:rsidRDefault="00DB0A1C" w:rsidP="00CE74C2">
            <w:pPr>
              <w:pStyle w:val="TableParagraph"/>
              <w:spacing w:before="42"/>
              <w:ind w:left="14"/>
              <w:jc w:val="both"/>
            </w:pPr>
            <w:r w:rsidRPr="5AD33FE0">
              <w:rPr>
                <w:lang w:val="fr-FR"/>
              </w:rPr>
              <w:t xml:space="preserve">Ankylostome </w:t>
            </w:r>
            <w:r w:rsidR="45B63067" w:rsidRPr="5AD33FE0">
              <w:rPr>
                <w:lang w:val="fr-FR"/>
              </w:rPr>
              <w:t xml:space="preserve">(œufs) </w:t>
            </w:r>
            <w:r w:rsidRPr="5AD33FE0">
              <w:rPr>
                <w:lang w:val="fr-FR"/>
              </w:rPr>
              <w:t>- Diapositive A</w:t>
            </w:r>
          </w:p>
        </w:tc>
        <w:tc>
          <w:tcPr>
            <w:tcW w:w="2419" w:type="dxa"/>
          </w:tcPr>
          <w:p w14:paraId="5FD2CB37" w14:textId="77777777" w:rsidR="000E2E95" w:rsidRPr="005669CE" w:rsidRDefault="000E2E95" w:rsidP="00CE74C2">
            <w:pPr>
              <w:pStyle w:val="TableParagraph"/>
              <w:jc w:val="both"/>
              <w:rPr>
                <w:rFonts w:ascii="Times New Roman"/>
              </w:rPr>
            </w:pPr>
          </w:p>
        </w:tc>
      </w:tr>
      <w:tr w:rsidR="000C10E3" w14:paraId="67F5E73A" w14:textId="77777777" w:rsidTr="5AD33FE0">
        <w:trPr>
          <w:trHeight w:val="359"/>
        </w:trPr>
        <w:tc>
          <w:tcPr>
            <w:tcW w:w="1027" w:type="dxa"/>
          </w:tcPr>
          <w:p w14:paraId="663555B9" w14:textId="77777777" w:rsidR="000E2E95" w:rsidRPr="005669CE" w:rsidRDefault="00DB0A1C" w:rsidP="00CE74C2">
            <w:pPr>
              <w:pStyle w:val="TableParagraph"/>
              <w:spacing w:before="68"/>
              <w:ind w:left="9"/>
              <w:jc w:val="both"/>
            </w:pPr>
            <w:r w:rsidRPr="005669CE">
              <w:rPr>
                <w:lang w:val="fr-FR"/>
              </w:rPr>
              <w:t>12</w:t>
            </w:r>
          </w:p>
        </w:tc>
        <w:tc>
          <w:tcPr>
            <w:tcW w:w="2148" w:type="dxa"/>
          </w:tcPr>
          <w:p w14:paraId="27269458" w14:textId="77777777" w:rsidR="000E2E95" w:rsidRPr="005669CE" w:rsidRDefault="00DB0A1C" w:rsidP="00CE74C2">
            <w:pPr>
              <w:pStyle w:val="TableParagraph"/>
              <w:spacing w:before="40"/>
              <w:ind w:left="14"/>
              <w:jc w:val="both"/>
              <w:rPr>
                <w:b/>
              </w:rPr>
            </w:pPr>
            <w:proofErr w:type="spellStart"/>
            <w:proofErr w:type="gramStart"/>
            <w:r w:rsidRPr="005669CE">
              <w:rPr>
                <w:b/>
                <w:bCs/>
                <w:spacing w:val="-2"/>
                <w:lang w:val="fr-FR"/>
              </w:rPr>
              <w:t>k</w:t>
            </w:r>
            <w:proofErr w:type="gramEnd"/>
            <w:r w:rsidRPr="005669CE">
              <w:rPr>
                <w:b/>
                <w:bCs/>
                <w:spacing w:val="-2"/>
                <w:lang w:val="fr-FR"/>
              </w:rPr>
              <w:t>_hookworm_sb</w:t>
            </w:r>
            <w:proofErr w:type="spellEnd"/>
          </w:p>
        </w:tc>
        <w:tc>
          <w:tcPr>
            <w:tcW w:w="3765" w:type="dxa"/>
          </w:tcPr>
          <w:p w14:paraId="0E15AA4C" w14:textId="54784740" w:rsidR="000E2E95" w:rsidRPr="005669CE" w:rsidRDefault="00DB0A1C" w:rsidP="00CE74C2">
            <w:pPr>
              <w:pStyle w:val="TableParagraph"/>
              <w:spacing w:before="40"/>
              <w:ind w:left="14"/>
              <w:jc w:val="both"/>
            </w:pPr>
            <w:r w:rsidRPr="5AD33FE0">
              <w:rPr>
                <w:lang w:val="fr-FR"/>
              </w:rPr>
              <w:t xml:space="preserve">Ankylostome </w:t>
            </w:r>
            <w:r w:rsidR="01151404" w:rsidRPr="5AD33FE0">
              <w:rPr>
                <w:lang w:val="fr-FR"/>
              </w:rPr>
              <w:t xml:space="preserve">(œufs) </w:t>
            </w:r>
            <w:r w:rsidRPr="5AD33FE0">
              <w:rPr>
                <w:lang w:val="fr-FR"/>
              </w:rPr>
              <w:t>- Diapositive B</w:t>
            </w:r>
          </w:p>
        </w:tc>
        <w:tc>
          <w:tcPr>
            <w:tcW w:w="2419" w:type="dxa"/>
          </w:tcPr>
          <w:p w14:paraId="7032CD2B" w14:textId="77777777" w:rsidR="000E2E95" w:rsidRPr="005669CE" w:rsidRDefault="000E2E95" w:rsidP="00CE74C2">
            <w:pPr>
              <w:pStyle w:val="TableParagraph"/>
              <w:jc w:val="both"/>
              <w:rPr>
                <w:rFonts w:ascii="Times New Roman"/>
              </w:rPr>
            </w:pPr>
          </w:p>
        </w:tc>
      </w:tr>
      <w:tr w:rsidR="000C10E3" w14:paraId="56579A34" w14:textId="77777777" w:rsidTr="5AD33FE0">
        <w:trPr>
          <w:trHeight w:val="359"/>
        </w:trPr>
        <w:tc>
          <w:tcPr>
            <w:tcW w:w="1027" w:type="dxa"/>
          </w:tcPr>
          <w:p w14:paraId="5FB4789B" w14:textId="77777777" w:rsidR="000E2E95" w:rsidRPr="005669CE" w:rsidRDefault="00DB0A1C" w:rsidP="00CE74C2">
            <w:pPr>
              <w:pStyle w:val="TableParagraph"/>
              <w:spacing w:before="68"/>
              <w:ind w:left="9"/>
              <w:jc w:val="both"/>
            </w:pPr>
            <w:r w:rsidRPr="005669CE">
              <w:rPr>
                <w:lang w:val="fr-FR"/>
              </w:rPr>
              <w:t>13</w:t>
            </w:r>
          </w:p>
        </w:tc>
        <w:tc>
          <w:tcPr>
            <w:tcW w:w="2148" w:type="dxa"/>
          </w:tcPr>
          <w:p w14:paraId="2983B8AA"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_trichuris_sa</w:t>
            </w:r>
            <w:proofErr w:type="spellEnd"/>
          </w:p>
        </w:tc>
        <w:tc>
          <w:tcPr>
            <w:tcW w:w="3765" w:type="dxa"/>
          </w:tcPr>
          <w:p w14:paraId="3D5009E1" w14:textId="230858F8" w:rsidR="000E2E95" w:rsidRPr="005669CE" w:rsidRDefault="00DB0A1C" w:rsidP="00CE74C2">
            <w:pPr>
              <w:pStyle w:val="TableParagraph"/>
              <w:spacing w:before="42"/>
              <w:ind w:left="14"/>
              <w:jc w:val="both"/>
            </w:pPr>
            <w:proofErr w:type="spellStart"/>
            <w:r w:rsidRPr="5AD33FE0">
              <w:rPr>
                <w:lang w:val="fr-FR"/>
              </w:rPr>
              <w:t>Trichuris</w:t>
            </w:r>
            <w:proofErr w:type="spellEnd"/>
            <w:r w:rsidRPr="5AD33FE0">
              <w:rPr>
                <w:lang w:val="fr-FR"/>
              </w:rPr>
              <w:t xml:space="preserve"> </w:t>
            </w:r>
            <w:proofErr w:type="spellStart"/>
            <w:r w:rsidRPr="5AD33FE0">
              <w:rPr>
                <w:lang w:val="fr-FR"/>
              </w:rPr>
              <w:t>trichiura</w:t>
            </w:r>
            <w:proofErr w:type="spellEnd"/>
            <w:r w:rsidRPr="5AD33FE0">
              <w:rPr>
                <w:lang w:val="fr-FR"/>
              </w:rPr>
              <w:t xml:space="preserve"> </w:t>
            </w:r>
            <w:r w:rsidR="71F000DC" w:rsidRPr="5AD33FE0">
              <w:rPr>
                <w:lang w:val="fr-FR"/>
              </w:rPr>
              <w:t xml:space="preserve">(œufs) </w:t>
            </w:r>
            <w:r w:rsidRPr="5AD33FE0">
              <w:rPr>
                <w:lang w:val="fr-FR"/>
              </w:rPr>
              <w:t>- Diapositive A</w:t>
            </w:r>
          </w:p>
        </w:tc>
        <w:tc>
          <w:tcPr>
            <w:tcW w:w="2419" w:type="dxa"/>
          </w:tcPr>
          <w:p w14:paraId="4297D873" w14:textId="77777777" w:rsidR="000E2E95" w:rsidRPr="005669CE" w:rsidRDefault="000E2E95" w:rsidP="00CE74C2">
            <w:pPr>
              <w:pStyle w:val="TableParagraph"/>
              <w:jc w:val="both"/>
              <w:rPr>
                <w:rFonts w:ascii="Times New Roman"/>
              </w:rPr>
            </w:pPr>
          </w:p>
        </w:tc>
      </w:tr>
      <w:tr w:rsidR="000C10E3" w14:paraId="69306A73" w14:textId="77777777" w:rsidTr="5AD33FE0">
        <w:trPr>
          <w:trHeight w:val="359"/>
        </w:trPr>
        <w:tc>
          <w:tcPr>
            <w:tcW w:w="1027" w:type="dxa"/>
          </w:tcPr>
          <w:p w14:paraId="79C3A257" w14:textId="77777777" w:rsidR="000E2E95" w:rsidRPr="005669CE" w:rsidRDefault="00DB0A1C" w:rsidP="00CE74C2">
            <w:pPr>
              <w:pStyle w:val="TableParagraph"/>
              <w:spacing w:before="68"/>
              <w:ind w:left="9"/>
              <w:jc w:val="both"/>
            </w:pPr>
            <w:r w:rsidRPr="005669CE">
              <w:rPr>
                <w:lang w:val="fr-FR"/>
              </w:rPr>
              <w:t>14</w:t>
            </w:r>
          </w:p>
        </w:tc>
        <w:tc>
          <w:tcPr>
            <w:tcW w:w="2148" w:type="dxa"/>
          </w:tcPr>
          <w:p w14:paraId="6137E18F"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_trichuris_sb</w:t>
            </w:r>
            <w:proofErr w:type="spellEnd"/>
          </w:p>
        </w:tc>
        <w:tc>
          <w:tcPr>
            <w:tcW w:w="3765" w:type="dxa"/>
          </w:tcPr>
          <w:p w14:paraId="37D511D4" w14:textId="12176EFD" w:rsidR="000E2E95" w:rsidRPr="005669CE" w:rsidRDefault="00DB0A1C" w:rsidP="00CE74C2">
            <w:pPr>
              <w:pStyle w:val="TableParagraph"/>
              <w:spacing w:before="42"/>
              <w:ind w:left="14"/>
              <w:jc w:val="both"/>
            </w:pPr>
            <w:proofErr w:type="spellStart"/>
            <w:r w:rsidRPr="5AD33FE0">
              <w:rPr>
                <w:lang w:val="fr-FR"/>
              </w:rPr>
              <w:t>Trichuris</w:t>
            </w:r>
            <w:proofErr w:type="spellEnd"/>
            <w:r w:rsidRPr="5AD33FE0">
              <w:rPr>
                <w:lang w:val="fr-FR"/>
              </w:rPr>
              <w:t xml:space="preserve"> </w:t>
            </w:r>
            <w:proofErr w:type="spellStart"/>
            <w:r w:rsidRPr="5AD33FE0">
              <w:rPr>
                <w:lang w:val="fr-FR"/>
              </w:rPr>
              <w:t>trichiura</w:t>
            </w:r>
            <w:proofErr w:type="spellEnd"/>
            <w:r w:rsidRPr="5AD33FE0">
              <w:rPr>
                <w:lang w:val="fr-FR"/>
              </w:rPr>
              <w:t xml:space="preserve"> </w:t>
            </w:r>
            <w:r w:rsidR="787616F6" w:rsidRPr="5AD33FE0">
              <w:rPr>
                <w:lang w:val="fr-FR"/>
              </w:rPr>
              <w:t xml:space="preserve">(œufs) </w:t>
            </w:r>
            <w:r w:rsidRPr="5AD33FE0">
              <w:rPr>
                <w:lang w:val="fr-FR"/>
              </w:rPr>
              <w:t>- Diapositive B</w:t>
            </w:r>
          </w:p>
        </w:tc>
        <w:tc>
          <w:tcPr>
            <w:tcW w:w="2419" w:type="dxa"/>
          </w:tcPr>
          <w:p w14:paraId="0419B48E" w14:textId="77777777" w:rsidR="000E2E95" w:rsidRPr="005669CE" w:rsidRDefault="000E2E95" w:rsidP="00CE74C2">
            <w:pPr>
              <w:pStyle w:val="TableParagraph"/>
              <w:jc w:val="both"/>
              <w:rPr>
                <w:rFonts w:ascii="Times New Roman"/>
              </w:rPr>
            </w:pPr>
          </w:p>
        </w:tc>
      </w:tr>
      <w:tr w:rsidR="000C10E3" w14:paraId="70433CCF" w14:textId="77777777" w:rsidTr="5AD33FE0">
        <w:trPr>
          <w:trHeight w:val="359"/>
        </w:trPr>
        <w:tc>
          <w:tcPr>
            <w:tcW w:w="1027" w:type="dxa"/>
          </w:tcPr>
          <w:p w14:paraId="0170A6D5" w14:textId="77777777" w:rsidR="000E2E95" w:rsidRPr="005669CE" w:rsidRDefault="00DB0A1C" w:rsidP="00CE74C2">
            <w:pPr>
              <w:pStyle w:val="TableParagraph"/>
              <w:spacing w:before="68"/>
              <w:ind w:left="9"/>
              <w:jc w:val="both"/>
            </w:pPr>
            <w:r w:rsidRPr="005669CE">
              <w:rPr>
                <w:lang w:val="fr-FR"/>
              </w:rPr>
              <w:t>15</w:t>
            </w:r>
          </w:p>
        </w:tc>
        <w:tc>
          <w:tcPr>
            <w:tcW w:w="2148" w:type="dxa"/>
          </w:tcPr>
          <w:p w14:paraId="59BCDFD1" w14:textId="77777777" w:rsidR="000E2E95" w:rsidRPr="005669CE" w:rsidRDefault="00DB0A1C" w:rsidP="00CE74C2">
            <w:pPr>
              <w:pStyle w:val="TableParagraph"/>
              <w:spacing w:before="42"/>
              <w:ind w:left="14"/>
              <w:jc w:val="both"/>
              <w:rPr>
                <w:b/>
              </w:rPr>
            </w:pPr>
            <w:proofErr w:type="gramStart"/>
            <w:r w:rsidRPr="005669CE">
              <w:rPr>
                <w:b/>
                <w:bCs/>
                <w:spacing w:val="-2"/>
                <w:lang w:val="fr-FR"/>
              </w:rPr>
              <w:t>k</w:t>
            </w:r>
            <w:proofErr w:type="gramEnd"/>
            <w:r w:rsidRPr="005669CE">
              <w:rPr>
                <w:b/>
                <w:bCs/>
                <w:spacing w:val="-2"/>
                <w:lang w:val="fr-FR"/>
              </w:rPr>
              <w:t>_other_name_1</w:t>
            </w:r>
          </w:p>
        </w:tc>
        <w:tc>
          <w:tcPr>
            <w:tcW w:w="3765" w:type="dxa"/>
          </w:tcPr>
          <w:p w14:paraId="3DE335BC" w14:textId="77777777" w:rsidR="000E2E95" w:rsidRPr="005669CE" w:rsidRDefault="00DB0A1C" w:rsidP="00CE74C2">
            <w:pPr>
              <w:pStyle w:val="TableParagraph"/>
              <w:spacing w:before="42"/>
              <w:ind w:left="14"/>
              <w:jc w:val="both"/>
            </w:pPr>
            <w:r w:rsidRPr="005669CE">
              <w:rPr>
                <w:lang w:val="fr-FR"/>
              </w:rPr>
              <w:t>Autre (nom 1)</w:t>
            </w:r>
          </w:p>
        </w:tc>
        <w:tc>
          <w:tcPr>
            <w:tcW w:w="2419" w:type="dxa"/>
          </w:tcPr>
          <w:p w14:paraId="50914650" w14:textId="77777777" w:rsidR="000E2E95" w:rsidRPr="005669CE" w:rsidRDefault="000E2E95" w:rsidP="00CE74C2">
            <w:pPr>
              <w:pStyle w:val="TableParagraph"/>
              <w:jc w:val="both"/>
              <w:rPr>
                <w:rFonts w:ascii="Times New Roman"/>
              </w:rPr>
            </w:pPr>
          </w:p>
        </w:tc>
      </w:tr>
      <w:tr w:rsidR="000C10E3" w14:paraId="29B2C95F" w14:textId="77777777" w:rsidTr="5AD33FE0">
        <w:trPr>
          <w:trHeight w:val="360"/>
        </w:trPr>
        <w:tc>
          <w:tcPr>
            <w:tcW w:w="1027" w:type="dxa"/>
          </w:tcPr>
          <w:p w14:paraId="5E80B18E" w14:textId="77777777" w:rsidR="000E2E95" w:rsidRPr="005669CE" w:rsidRDefault="00DB0A1C" w:rsidP="00CE74C2">
            <w:pPr>
              <w:pStyle w:val="TableParagraph"/>
              <w:spacing w:before="71"/>
              <w:ind w:left="9"/>
              <w:jc w:val="both"/>
            </w:pPr>
            <w:r w:rsidRPr="005669CE">
              <w:rPr>
                <w:lang w:val="fr-FR"/>
              </w:rPr>
              <w:t>16</w:t>
            </w:r>
          </w:p>
        </w:tc>
        <w:tc>
          <w:tcPr>
            <w:tcW w:w="2148" w:type="dxa"/>
          </w:tcPr>
          <w:p w14:paraId="0A288535" w14:textId="77777777" w:rsidR="000E2E95" w:rsidRPr="005669CE" w:rsidRDefault="00DB0A1C" w:rsidP="00CE74C2">
            <w:pPr>
              <w:pStyle w:val="TableParagraph"/>
              <w:spacing w:before="43"/>
              <w:ind w:left="14"/>
              <w:jc w:val="both"/>
              <w:rPr>
                <w:b/>
              </w:rPr>
            </w:pPr>
            <w:proofErr w:type="gramStart"/>
            <w:r w:rsidRPr="005669CE">
              <w:rPr>
                <w:b/>
                <w:bCs/>
                <w:spacing w:val="-2"/>
                <w:lang w:val="fr-FR"/>
              </w:rPr>
              <w:t>k</w:t>
            </w:r>
            <w:proofErr w:type="gramEnd"/>
            <w:r w:rsidRPr="005669CE">
              <w:rPr>
                <w:b/>
                <w:bCs/>
                <w:spacing w:val="-2"/>
                <w:lang w:val="fr-FR"/>
              </w:rPr>
              <w:t>_other_quantity_1a</w:t>
            </w:r>
          </w:p>
        </w:tc>
        <w:tc>
          <w:tcPr>
            <w:tcW w:w="3765" w:type="dxa"/>
          </w:tcPr>
          <w:p w14:paraId="4F8AF5F4" w14:textId="77777777" w:rsidR="000E2E95" w:rsidRPr="005669CE" w:rsidRDefault="00DB0A1C" w:rsidP="00CE74C2">
            <w:pPr>
              <w:pStyle w:val="TableParagraph"/>
              <w:spacing w:before="43"/>
              <w:ind w:left="14"/>
              <w:jc w:val="both"/>
            </w:pPr>
            <w:r w:rsidRPr="005669CE">
              <w:rPr>
                <w:lang w:val="fr-FR"/>
              </w:rPr>
              <w:t>Autre quantité 1 - Diapositive A</w:t>
            </w:r>
          </w:p>
        </w:tc>
        <w:tc>
          <w:tcPr>
            <w:tcW w:w="2419" w:type="dxa"/>
          </w:tcPr>
          <w:p w14:paraId="210A7838" w14:textId="77777777" w:rsidR="000E2E95" w:rsidRPr="005669CE" w:rsidRDefault="000E2E95" w:rsidP="00CE74C2">
            <w:pPr>
              <w:pStyle w:val="TableParagraph"/>
              <w:jc w:val="both"/>
              <w:rPr>
                <w:rFonts w:ascii="Times New Roman"/>
              </w:rPr>
            </w:pPr>
          </w:p>
        </w:tc>
      </w:tr>
      <w:tr w:rsidR="000C10E3" w14:paraId="73DA1183" w14:textId="77777777" w:rsidTr="5AD33FE0">
        <w:trPr>
          <w:trHeight w:val="362"/>
        </w:trPr>
        <w:tc>
          <w:tcPr>
            <w:tcW w:w="1027" w:type="dxa"/>
          </w:tcPr>
          <w:p w14:paraId="4AE410DC" w14:textId="77777777" w:rsidR="000E2E95" w:rsidRPr="005669CE" w:rsidRDefault="00DB0A1C" w:rsidP="00CE74C2">
            <w:pPr>
              <w:pStyle w:val="TableParagraph"/>
              <w:spacing w:before="71"/>
              <w:ind w:left="9"/>
              <w:jc w:val="both"/>
            </w:pPr>
            <w:r w:rsidRPr="005669CE">
              <w:rPr>
                <w:lang w:val="fr-FR"/>
              </w:rPr>
              <w:t>17</w:t>
            </w:r>
          </w:p>
        </w:tc>
        <w:tc>
          <w:tcPr>
            <w:tcW w:w="2148" w:type="dxa"/>
          </w:tcPr>
          <w:p w14:paraId="2A67AF79" w14:textId="77777777" w:rsidR="000E2E95" w:rsidRPr="005669CE" w:rsidRDefault="00DB0A1C" w:rsidP="00CE74C2">
            <w:pPr>
              <w:pStyle w:val="TableParagraph"/>
              <w:spacing w:before="42"/>
              <w:ind w:left="14"/>
              <w:jc w:val="both"/>
              <w:rPr>
                <w:b/>
              </w:rPr>
            </w:pPr>
            <w:proofErr w:type="gramStart"/>
            <w:r w:rsidRPr="005669CE">
              <w:rPr>
                <w:b/>
                <w:bCs/>
                <w:spacing w:val="-2"/>
                <w:lang w:val="fr-FR"/>
              </w:rPr>
              <w:t>k</w:t>
            </w:r>
            <w:proofErr w:type="gramEnd"/>
            <w:r w:rsidRPr="005669CE">
              <w:rPr>
                <w:b/>
                <w:bCs/>
                <w:spacing w:val="-2"/>
                <w:lang w:val="fr-FR"/>
              </w:rPr>
              <w:t>_other_quantity_1b</w:t>
            </w:r>
          </w:p>
        </w:tc>
        <w:tc>
          <w:tcPr>
            <w:tcW w:w="3765" w:type="dxa"/>
          </w:tcPr>
          <w:p w14:paraId="66C38FD8" w14:textId="77777777" w:rsidR="000E2E95" w:rsidRPr="005669CE" w:rsidRDefault="00DB0A1C" w:rsidP="00CE74C2">
            <w:pPr>
              <w:pStyle w:val="TableParagraph"/>
              <w:spacing w:before="42"/>
              <w:ind w:left="14"/>
              <w:jc w:val="both"/>
            </w:pPr>
            <w:r w:rsidRPr="005669CE">
              <w:rPr>
                <w:lang w:val="fr-FR"/>
              </w:rPr>
              <w:t>Autre quantité 1 - Diapositive B</w:t>
            </w:r>
          </w:p>
        </w:tc>
        <w:tc>
          <w:tcPr>
            <w:tcW w:w="2419" w:type="dxa"/>
          </w:tcPr>
          <w:p w14:paraId="777237F8" w14:textId="77777777" w:rsidR="000E2E95" w:rsidRPr="005669CE" w:rsidRDefault="000E2E95" w:rsidP="00CE74C2">
            <w:pPr>
              <w:pStyle w:val="TableParagraph"/>
              <w:jc w:val="both"/>
              <w:rPr>
                <w:rFonts w:ascii="Times New Roman"/>
              </w:rPr>
            </w:pPr>
          </w:p>
        </w:tc>
      </w:tr>
      <w:tr w:rsidR="000C10E3" w14:paraId="57DA3460" w14:textId="77777777" w:rsidTr="5AD33FE0">
        <w:trPr>
          <w:trHeight w:val="359"/>
        </w:trPr>
        <w:tc>
          <w:tcPr>
            <w:tcW w:w="1027" w:type="dxa"/>
          </w:tcPr>
          <w:p w14:paraId="0FDEC880" w14:textId="77777777" w:rsidR="000E2E95" w:rsidRPr="005669CE" w:rsidRDefault="00DB0A1C" w:rsidP="00CE74C2">
            <w:pPr>
              <w:pStyle w:val="TableParagraph"/>
              <w:spacing w:before="68"/>
              <w:ind w:left="9"/>
              <w:jc w:val="both"/>
            </w:pPr>
            <w:r w:rsidRPr="005669CE">
              <w:rPr>
                <w:lang w:val="fr-FR"/>
              </w:rPr>
              <w:t>18</w:t>
            </w:r>
          </w:p>
        </w:tc>
        <w:tc>
          <w:tcPr>
            <w:tcW w:w="2148" w:type="dxa"/>
          </w:tcPr>
          <w:p w14:paraId="70BE9E5B" w14:textId="77777777" w:rsidR="000E2E95" w:rsidRPr="005669CE" w:rsidRDefault="00DB0A1C" w:rsidP="00CE74C2">
            <w:pPr>
              <w:pStyle w:val="TableParagraph"/>
              <w:spacing w:before="40"/>
              <w:ind w:left="14"/>
              <w:jc w:val="both"/>
              <w:rPr>
                <w:b/>
              </w:rPr>
            </w:pPr>
            <w:proofErr w:type="gramStart"/>
            <w:r w:rsidRPr="005669CE">
              <w:rPr>
                <w:b/>
                <w:bCs/>
                <w:spacing w:val="-2"/>
                <w:lang w:val="fr-FR"/>
              </w:rPr>
              <w:t>k</w:t>
            </w:r>
            <w:proofErr w:type="gramEnd"/>
            <w:r w:rsidRPr="005669CE">
              <w:rPr>
                <w:b/>
                <w:bCs/>
                <w:spacing w:val="-2"/>
                <w:lang w:val="fr-FR"/>
              </w:rPr>
              <w:t>_other_name_2</w:t>
            </w:r>
          </w:p>
        </w:tc>
        <w:tc>
          <w:tcPr>
            <w:tcW w:w="3765" w:type="dxa"/>
          </w:tcPr>
          <w:p w14:paraId="5BCDEA50" w14:textId="77777777" w:rsidR="000E2E95" w:rsidRPr="005669CE" w:rsidRDefault="00DB0A1C" w:rsidP="00CE74C2">
            <w:pPr>
              <w:pStyle w:val="TableParagraph"/>
              <w:spacing w:before="40"/>
              <w:ind w:left="14"/>
              <w:jc w:val="both"/>
            </w:pPr>
            <w:r w:rsidRPr="005669CE">
              <w:rPr>
                <w:lang w:val="fr-FR"/>
              </w:rPr>
              <w:t>Autre (nom 2)</w:t>
            </w:r>
          </w:p>
        </w:tc>
        <w:tc>
          <w:tcPr>
            <w:tcW w:w="2419" w:type="dxa"/>
          </w:tcPr>
          <w:p w14:paraId="05A2F694" w14:textId="77777777" w:rsidR="000E2E95" w:rsidRPr="005669CE" w:rsidRDefault="000E2E95" w:rsidP="00CE74C2">
            <w:pPr>
              <w:pStyle w:val="TableParagraph"/>
              <w:jc w:val="both"/>
              <w:rPr>
                <w:rFonts w:ascii="Times New Roman"/>
              </w:rPr>
            </w:pPr>
          </w:p>
        </w:tc>
      </w:tr>
      <w:tr w:rsidR="000C10E3" w14:paraId="311223F8" w14:textId="77777777" w:rsidTr="5AD33FE0">
        <w:trPr>
          <w:trHeight w:val="359"/>
        </w:trPr>
        <w:tc>
          <w:tcPr>
            <w:tcW w:w="1027" w:type="dxa"/>
          </w:tcPr>
          <w:p w14:paraId="691831F2" w14:textId="77777777" w:rsidR="000E2E95" w:rsidRPr="005669CE" w:rsidRDefault="00DB0A1C" w:rsidP="00CE74C2">
            <w:pPr>
              <w:pStyle w:val="TableParagraph"/>
              <w:spacing w:before="42"/>
              <w:ind w:left="9" w:right="1"/>
              <w:jc w:val="both"/>
            </w:pPr>
            <w:r w:rsidRPr="005669CE">
              <w:rPr>
                <w:lang w:val="fr-FR"/>
              </w:rPr>
              <w:t>19</w:t>
            </w:r>
          </w:p>
        </w:tc>
        <w:tc>
          <w:tcPr>
            <w:tcW w:w="2148" w:type="dxa"/>
          </w:tcPr>
          <w:p w14:paraId="60410068" w14:textId="77777777" w:rsidR="000E2E95" w:rsidRPr="005669CE" w:rsidRDefault="00DB0A1C" w:rsidP="00CE74C2">
            <w:pPr>
              <w:pStyle w:val="TableParagraph"/>
              <w:spacing w:before="42"/>
              <w:ind w:left="14"/>
              <w:jc w:val="both"/>
              <w:rPr>
                <w:b/>
              </w:rPr>
            </w:pPr>
            <w:proofErr w:type="spellStart"/>
            <w:proofErr w:type="gramStart"/>
            <w:r w:rsidRPr="005669CE">
              <w:rPr>
                <w:b/>
                <w:bCs/>
                <w:spacing w:val="-2"/>
                <w:lang w:val="fr-FR"/>
              </w:rPr>
              <w:t>k</w:t>
            </w:r>
            <w:proofErr w:type="gramEnd"/>
            <w:r w:rsidRPr="005669CE">
              <w:rPr>
                <w:b/>
                <w:bCs/>
                <w:spacing w:val="-2"/>
                <w:lang w:val="fr-FR"/>
              </w:rPr>
              <w:t>_remarks</w:t>
            </w:r>
            <w:proofErr w:type="spellEnd"/>
          </w:p>
        </w:tc>
        <w:tc>
          <w:tcPr>
            <w:tcW w:w="3765" w:type="dxa"/>
          </w:tcPr>
          <w:p w14:paraId="38B97A69" w14:textId="77777777" w:rsidR="000E2E95" w:rsidRPr="005669CE" w:rsidRDefault="00DB0A1C" w:rsidP="00CE74C2">
            <w:pPr>
              <w:pStyle w:val="TableParagraph"/>
              <w:spacing w:before="42"/>
              <w:ind w:left="14"/>
              <w:jc w:val="both"/>
            </w:pPr>
            <w:r w:rsidRPr="005669CE">
              <w:rPr>
                <w:lang w:val="fr-FR"/>
              </w:rPr>
              <w:t>Commentaire supplémentaire</w:t>
            </w:r>
          </w:p>
        </w:tc>
        <w:tc>
          <w:tcPr>
            <w:tcW w:w="2419" w:type="dxa"/>
          </w:tcPr>
          <w:p w14:paraId="3E99E5D0" w14:textId="77777777" w:rsidR="000E2E95" w:rsidRPr="005669CE" w:rsidRDefault="000E2E95" w:rsidP="00CE74C2">
            <w:pPr>
              <w:pStyle w:val="TableParagraph"/>
              <w:jc w:val="both"/>
              <w:rPr>
                <w:rFonts w:ascii="Times New Roman"/>
              </w:rPr>
            </w:pPr>
          </w:p>
        </w:tc>
      </w:tr>
    </w:tbl>
    <w:p w14:paraId="1FFABEE8" w14:textId="77777777" w:rsidR="000E2E95" w:rsidRPr="005669CE" w:rsidRDefault="000E2E95" w:rsidP="00CE74C2">
      <w:pPr>
        <w:jc w:val="both"/>
        <w:rPr>
          <w:rFonts w:ascii="Times New Roman"/>
        </w:rPr>
        <w:sectPr w:rsidR="000E2E95" w:rsidRPr="005669CE" w:rsidSect="008622E9">
          <w:type w:val="continuous"/>
          <w:pgSz w:w="12240" w:h="15840"/>
          <w:pgMar w:top="1440" w:right="1077" w:bottom="1440" w:left="1077" w:header="720" w:footer="720" w:gutter="0"/>
          <w:cols w:space="720"/>
        </w:sectPr>
      </w:pPr>
    </w:p>
    <w:p w14:paraId="717A8DA4" w14:textId="77777777" w:rsidR="000E2E95" w:rsidRPr="005669CE" w:rsidRDefault="00DB0A1C" w:rsidP="00CE74C2">
      <w:pPr>
        <w:pStyle w:val="Heading1"/>
        <w:jc w:val="both"/>
      </w:pPr>
      <w:bookmarkStart w:id="61" w:name="_bookmark26"/>
      <w:bookmarkStart w:id="62" w:name="_Appendix_2:_Information"/>
      <w:bookmarkStart w:id="63" w:name="_Toc181011886"/>
      <w:bookmarkEnd w:id="61"/>
      <w:bookmarkEnd w:id="62"/>
      <w:r w:rsidRPr="005669CE">
        <w:rPr>
          <w:color w:val="1F3863"/>
          <w:lang w:val="fr-FR"/>
        </w:rPr>
        <w:lastRenderedPageBreak/>
        <w:t>Annexe 2 : Formulaires d’information et de consentement</w:t>
      </w:r>
      <w:bookmarkEnd w:id="63"/>
    </w:p>
    <w:p w14:paraId="0598B1BC" w14:textId="77777777" w:rsidR="000E2E95" w:rsidRPr="005669CE" w:rsidRDefault="00DB0A1C" w:rsidP="00CF2EED">
      <w:pPr>
        <w:pStyle w:val="Heading2"/>
      </w:pPr>
      <w:bookmarkStart w:id="64" w:name="_bookmark27"/>
      <w:bookmarkStart w:id="65" w:name="_Toc181011887"/>
      <w:bookmarkEnd w:id="64"/>
      <w:r w:rsidRPr="005669CE">
        <w:rPr>
          <w:lang w:val="fr-FR"/>
        </w:rPr>
        <w:t>Procédure de consentement éclairé</w:t>
      </w:r>
      <w:bookmarkEnd w:id="65"/>
    </w:p>
    <w:p w14:paraId="4DE7352A" w14:textId="77777777" w:rsidR="000E2E95" w:rsidRPr="005669CE" w:rsidRDefault="00DB0A1C" w:rsidP="00CF2EED">
      <w:pPr>
        <w:pStyle w:val="ListParagraph"/>
        <w:numPr>
          <w:ilvl w:val="0"/>
          <w:numId w:val="9"/>
        </w:numPr>
        <w:tabs>
          <w:tab w:val="left" w:pos="478"/>
          <w:tab w:val="left" w:pos="480"/>
        </w:tabs>
        <w:spacing w:before="120"/>
        <w:jc w:val="both"/>
      </w:pPr>
      <w:r w:rsidRPr="005669CE">
        <w:rPr>
          <w:lang w:val="fr-FR"/>
        </w:rPr>
        <w:t>L’équipe chargée de l’enquête doit informer à l’avance les responsables en matière de santé et d’éducation au niveau du district et obtenir les coordonnées des responsables d’établissement sélectionnées pour l’enquête.</w:t>
      </w:r>
    </w:p>
    <w:p w14:paraId="39EF6B1E" w14:textId="77777777" w:rsidR="000E2E95" w:rsidRPr="005669CE" w:rsidRDefault="00DB0A1C" w:rsidP="00CF2EED">
      <w:pPr>
        <w:pStyle w:val="ListParagraph"/>
        <w:numPr>
          <w:ilvl w:val="0"/>
          <w:numId w:val="9"/>
        </w:numPr>
        <w:tabs>
          <w:tab w:val="left" w:pos="478"/>
          <w:tab w:val="left" w:pos="480"/>
        </w:tabs>
        <w:spacing w:before="120"/>
        <w:jc w:val="both"/>
      </w:pPr>
      <w:r w:rsidRPr="005669CE">
        <w:rPr>
          <w:lang w:val="fr-FR"/>
        </w:rPr>
        <w:t>L’équipe doit contacter les responsables d’établissement concernés pour les informer de leur participation à l’enquête au moins une semaine à l’avance. Les responsables d’établissement doivent ensuite être invités à organiser une séance d’information avec les parents la veille de la date prévue pour la collecte des données, ou plus tôt avant le jour prévu de l’enquête.</w:t>
      </w:r>
    </w:p>
    <w:p w14:paraId="30ED3617" w14:textId="77777777" w:rsidR="000E2E95" w:rsidRPr="005669CE" w:rsidRDefault="00DB0A1C" w:rsidP="00CF2EED">
      <w:pPr>
        <w:pStyle w:val="ListParagraph"/>
        <w:numPr>
          <w:ilvl w:val="0"/>
          <w:numId w:val="9"/>
        </w:numPr>
        <w:tabs>
          <w:tab w:val="left" w:pos="478"/>
          <w:tab w:val="left" w:pos="480"/>
        </w:tabs>
        <w:spacing w:before="122"/>
        <w:jc w:val="both"/>
      </w:pPr>
      <w:r w:rsidRPr="005669CE">
        <w:rPr>
          <w:lang w:val="fr-FR"/>
        </w:rPr>
        <w:t>L’équipe d’enquêteurs doit arriver à l’école sélectionnée la veille de la collecte des données et procéder comme suit :</w:t>
      </w:r>
    </w:p>
    <w:p w14:paraId="1740E22E" w14:textId="77777777" w:rsidR="000E2E95" w:rsidRPr="005669CE" w:rsidRDefault="00DB0A1C" w:rsidP="00CF2EED">
      <w:pPr>
        <w:pStyle w:val="ListParagraph"/>
        <w:numPr>
          <w:ilvl w:val="1"/>
          <w:numId w:val="9"/>
        </w:numPr>
        <w:tabs>
          <w:tab w:val="left" w:pos="828"/>
        </w:tabs>
        <w:spacing w:before="120"/>
        <w:jc w:val="both"/>
      </w:pPr>
      <w:r w:rsidRPr="005669CE">
        <w:rPr>
          <w:lang w:val="fr-FR"/>
        </w:rPr>
        <w:t>Remettre au responsable d’établissement la fiche d’informations correspondante (</w:t>
      </w:r>
      <w:hyperlink w:anchor="_bookmark29" w:history="1">
        <w:r w:rsidRPr="005669CE">
          <w:rPr>
            <w:rStyle w:val="Hyperlink"/>
            <w:lang w:val="fr-FR"/>
          </w:rPr>
          <w:t>Formulaire B.1.</w:t>
        </w:r>
      </w:hyperlink>
      <w:r w:rsidRPr="005669CE">
        <w:rPr>
          <w:lang w:val="fr-FR"/>
        </w:rPr>
        <w:t>) et obtenir son consentement pour mettre en œuvre l’enquête (</w:t>
      </w:r>
      <w:hyperlink w:anchor="_bookmark31" w:history="1">
        <w:r w:rsidRPr="005669CE">
          <w:rPr>
            <w:rStyle w:val="Hyperlink"/>
            <w:lang w:val="fr-FR"/>
          </w:rPr>
          <w:t>Formulaire B.2.</w:t>
        </w:r>
      </w:hyperlink>
      <w:r w:rsidRPr="005669CE">
        <w:rPr>
          <w:lang w:val="fr-FR"/>
        </w:rPr>
        <w:t>).</w:t>
      </w:r>
    </w:p>
    <w:p w14:paraId="2F31BFAD" w14:textId="77777777" w:rsidR="000E2E95" w:rsidRPr="005669CE" w:rsidRDefault="00DB0A1C" w:rsidP="00CF2EED">
      <w:pPr>
        <w:pStyle w:val="ListParagraph"/>
        <w:numPr>
          <w:ilvl w:val="1"/>
          <w:numId w:val="9"/>
        </w:numPr>
        <w:tabs>
          <w:tab w:val="left" w:pos="826"/>
          <w:tab w:val="left" w:pos="828"/>
        </w:tabs>
        <w:spacing w:before="118"/>
        <w:jc w:val="both"/>
      </w:pPr>
      <w:r w:rsidRPr="005669CE">
        <w:rPr>
          <w:lang w:val="fr-FR"/>
        </w:rPr>
        <w:t>Fournir au responsable d’établissement la fiche d’informations des parents des classes sélectionnées (</w:t>
      </w:r>
      <w:hyperlink w:anchor="_Reassessment_Survey:_Information" w:history="1">
        <w:r w:rsidRPr="005669CE">
          <w:rPr>
            <w:rStyle w:val="Hyperlink"/>
            <w:lang w:val="fr-FR"/>
          </w:rPr>
          <w:t>Formulaire A.1.</w:t>
        </w:r>
      </w:hyperlink>
      <w:r w:rsidRPr="005669CE">
        <w:rPr>
          <w:lang w:val="fr-FR"/>
        </w:rPr>
        <w:t>).</w:t>
      </w:r>
    </w:p>
    <w:p w14:paraId="229315D5" w14:textId="77777777" w:rsidR="000E2E95" w:rsidRPr="005669CE" w:rsidRDefault="00DB0A1C" w:rsidP="00CF2EED">
      <w:pPr>
        <w:pStyle w:val="ListParagraph"/>
        <w:numPr>
          <w:ilvl w:val="1"/>
          <w:numId w:val="9"/>
        </w:numPr>
        <w:tabs>
          <w:tab w:val="left" w:pos="825"/>
        </w:tabs>
        <w:spacing w:before="121"/>
        <w:ind w:left="825" w:hanging="345"/>
        <w:jc w:val="both"/>
      </w:pPr>
      <w:r w:rsidRPr="005669CE">
        <w:rPr>
          <w:lang w:val="fr-FR"/>
        </w:rPr>
        <w:t>Demander une liste des enfants inscrits pour chacune des classes éligibles à l’enquête.</w:t>
      </w:r>
    </w:p>
    <w:p w14:paraId="7FB958E1" w14:textId="77777777" w:rsidR="000E2E95" w:rsidRPr="005669CE" w:rsidRDefault="00DB0A1C" w:rsidP="00CF2EED">
      <w:pPr>
        <w:pStyle w:val="ListParagraph"/>
        <w:numPr>
          <w:ilvl w:val="1"/>
          <w:numId w:val="9"/>
        </w:numPr>
        <w:tabs>
          <w:tab w:val="left" w:pos="825"/>
          <w:tab w:val="left" w:pos="828"/>
        </w:tabs>
        <w:spacing w:before="120"/>
        <w:jc w:val="both"/>
      </w:pPr>
      <w:r w:rsidRPr="005669CE">
        <w:rPr>
          <w:lang w:val="fr-FR"/>
        </w:rPr>
        <w:t>Aider les enseignants des classes sélectionnées pour l’enquête à expliquer l’activité aux enfants (</w:t>
      </w:r>
      <w:hyperlink w:anchor="_bookmark28" w:history="1">
        <w:r w:rsidRPr="005669CE">
          <w:rPr>
            <w:rStyle w:val="Hyperlink"/>
            <w:lang w:val="fr-FR"/>
          </w:rPr>
          <w:t>Formulaire A.1</w:t>
        </w:r>
      </w:hyperlink>
      <w:r w:rsidRPr="005669CE">
        <w:rPr>
          <w:lang w:val="fr-FR"/>
        </w:rPr>
        <w:t>).</w:t>
      </w:r>
    </w:p>
    <w:p w14:paraId="04939B0A" w14:textId="77777777" w:rsidR="000E2E95" w:rsidRPr="005669CE" w:rsidRDefault="00DB0A1C" w:rsidP="00CF2EED">
      <w:pPr>
        <w:pStyle w:val="ListParagraph"/>
        <w:numPr>
          <w:ilvl w:val="1"/>
          <w:numId w:val="9"/>
        </w:numPr>
        <w:tabs>
          <w:tab w:val="left" w:pos="826"/>
        </w:tabs>
        <w:spacing w:before="121"/>
        <w:ind w:left="826" w:hanging="346"/>
        <w:jc w:val="both"/>
      </w:pPr>
      <w:r w:rsidRPr="005669CE">
        <w:rPr>
          <w:lang w:val="fr-FR"/>
        </w:rPr>
        <w:t>Assister à la réunion avec les parents pour répondre aux questions et aux préoccupations éventuelles.</w:t>
      </w:r>
    </w:p>
    <w:p w14:paraId="2DAF864E" w14:textId="77777777" w:rsidR="000E2E95" w:rsidRPr="005669CE" w:rsidRDefault="00DB0A1C" w:rsidP="00CF2EED">
      <w:pPr>
        <w:pStyle w:val="ListParagraph"/>
        <w:numPr>
          <w:ilvl w:val="0"/>
          <w:numId w:val="9"/>
        </w:numPr>
        <w:tabs>
          <w:tab w:val="left" w:pos="478"/>
          <w:tab w:val="left" w:pos="480"/>
        </w:tabs>
        <w:spacing w:before="120"/>
        <w:jc w:val="both"/>
      </w:pPr>
      <w:r w:rsidRPr="005669CE">
        <w:rPr>
          <w:lang w:val="fr-FR"/>
        </w:rPr>
        <w:t>Les responsables d’établissement doivent fournir une copie de la fiche d’informations des parents aux enseignants responsables des classes éligibles à l’enquête. Les enseignants doivent lire les formulaires aux élèves et leur en remettre une copie. Dans la mesure du possible, les enquêteurs doivent aider les enseignants des classes concernées à répondre aux questions ou aux doutes.</w:t>
      </w:r>
    </w:p>
    <w:p w14:paraId="41C0369A" w14:textId="77777777" w:rsidR="000E2E95" w:rsidRPr="005669CE" w:rsidRDefault="00DB0A1C" w:rsidP="00CF2EED">
      <w:pPr>
        <w:pStyle w:val="ListParagraph"/>
        <w:numPr>
          <w:ilvl w:val="0"/>
          <w:numId w:val="9"/>
        </w:numPr>
        <w:tabs>
          <w:tab w:val="left" w:pos="478"/>
          <w:tab w:val="left" w:pos="480"/>
        </w:tabs>
        <w:spacing w:before="118"/>
        <w:jc w:val="both"/>
      </w:pPr>
      <w:r w:rsidRPr="005669CE">
        <w:rPr>
          <w:lang w:val="fr-FR"/>
        </w:rPr>
        <w:t>Lors de la réunion organisée par l’école avec les parents, les responsables d’établissement doivent expliquer les activités menées dans le cadre de l’enquête en s’appuyant sur les fiches d’informations fournies par l’équipe. Ils doivent également fournir des copies des fiches d’informations aux parents présents.</w:t>
      </w:r>
    </w:p>
    <w:p w14:paraId="05FB8ABD" w14:textId="77777777" w:rsidR="000E2E95" w:rsidRPr="005669CE" w:rsidRDefault="00DB0A1C" w:rsidP="00CF2EED">
      <w:pPr>
        <w:pStyle w:val="ListParagraph"/>
        <w:numPr>
          <w:ilvl w:val="0"/>
          <w:numId w:val="9"/>
        </w:numPr>
        <w:tabs>
          <w:tab w:val="left" w:pos="478"/>
          <w:tab w:val="left" w:pos="480"/>
        </w:tabs>
        <w:spacing w:before="121"/>
        <w:jc w:val="both"/>
      </w:pPr>
      <w:r w:rsidRPr="005669CE">
        <w:rPr>
          <w:lang w:val="fr-FR"/>
        </w:rPr>
        <w:t>L’équipe d’enquêteurs doit essayer d’obtenir le consentement signé du responsable d’établissement lors de la réunion de l’école et utiliser la liste des enfants inscrits pour chaque classe sélectionnée afin de garder une trace des élèves autorisés à fournir des échantillons.</w:t>
      </w:r>
    </w:p>
    <w:p w14:paraId="1E063181" w14:textId="77777777" w:rsidR="000E2E95" w:rsidRPr="005669CE" w:rsidRDefault="00DB0A1C" w:rsidP="00CF2EED">
      <w:pPr>
        <w:pStyle w:val="ListParagraph"/>
        <w:numPr>
          <w:ilvl w:val="0"/>
          <w:numId w:val="9"/>
        </w:numPr>
        <w:tabs>
          <w:tab w:val="left" w:pos="478"/>
          <w:tab w:val="left" w:pos="480"/>
        </w:tabs>
        <w:spacing w:before="121"/>
        <w:jc w:val="both"/>
      </w:pPr>
      <w:r w:rsidRPr="005669CE">
        <w:rPr>
          <w:lang w:val="fr-FR"/>
        </w:rPr>
        <w:t>Le jour de la collecte des données, l’équipe en charge de l’enquête doit vérifier que les enfants de la classe sélectionnée ont signé le formulaire de consentement fourni par le responsable d’établissement. En utilisant la liste des enfants inscrits dans chaque classe, l’équipe doit vérifier que les enfants disposent du formulaire de consentement du responsable d’établissement.</w:t>
      </w:r>
    </w:p>
    <w:p w14:paraId="6EA5E838" w14:textId="77777777" w:rsidR="000E2E95" w:rsidRPr="005669CE" w:rsidRDefault="00DB0A1C" w:rsidP="00CF2EED">
      <w:pPr>
        <w:pStyle w:val="ListParagraph"/>
        <w:numPr>
          <w:ilvl w:val="0"/>
          <w:numId w:val="9"/>
        </w:numPr>
        <w:tabs>
          <w:tab w:val="left" w:pos="478"/>
          <w:tab w:val="left" w:pos="480"/>
        </w:tabs>
        <w:spacing w:before="121"/>
        <w:jc w:val="both"/>
      </w:pPr>
      <w:r w:rsidRPr="005669CE">
        <w:rPr>
          <w:lang w:val="fr-FR"/>
        </w:rPr>
        <w:t xml:space="preserve">Le jour de la collecte des données, le processus de sélection aléatoire des élèves </w:t>
      </w:r>
      <w:r w:rsidRPr="005669CE">
        <w:rPr>
          <w:b/>
          <w:bCs/>
          <w:u w:val="single"/>
          <w:lang w:val="fr-FR"/>
        </w:rPr>
        <w:t>ne doit prendre en compte que ceux</w:t>
      </w:r>
      <w:r w:rsidRPr="005669CE">
        <w:rPr>
          <w:b/>
          <w:bCs/>
          <w:lang w:val="fr-FR"/>
        </w:rPr>
        <w:t xml:space="preserve"> </w:t>
      </w:r>
      <w:r w:rsidRPr="005669CE">
        <w:rPr>
          <w:b/>
          <w:bCs/>
          <w:u w:val="single"/>
          <w:lang w:val="fr-FR"/>
        </w:rPr>
        <w:t>pour lesquels un formulaire de consentement signé a été fourni la veille</w:t>
      </w:r>
      <w:r w:rsidRPr="005669CE">
        <w:rPr>
          <w:b/>
          <w:bCs/>
          <w:lang w:val="fr-FR"/>
        </w:rPr>
        <w:t xml:space="preserve"> </w:t>
      </w:r>
      <w:r w:rsidRPr="005669CE">
        <w:rPr>
          <w:lang w:val="fr-FR"/>
        </w:rPr>
        <w:t>lors de la réunion de l’école.</w:t>
      </w:r>
    </w:p>
    <w:p w14:paraId="6DCA9BAF" w14:textId="77777777" w:rsidR="000E2E95" w:rsidRPr="005669CE" w:rsidRDefault="00DB0A1C" w:rsidP="00CF2EED">
      <w:pPr>
        <w:pStyle w:val="ListParagraph"/>
        <w:numPr>
          <w:ilvl w:val="0"/>
          <w:numId w:val="9"/>
        </w:numPr>
        <w:tabs>
          <w:tab w:val="left" w:pos="478"/>
          <w:tab w:val="left" w:pos="480"/>
        </w:tabs>
        <w:spacing w:before="118"/>
        <w:jc w:val="both"/>
      </w:pPr>
      <w:r w:rsidRPr="005669CE">
        <w:rPr>
          <w:lang w:val="fr-FR"/>
        </w:rPr>
        <w:t>Pour toutes ces classes, l’équipe doit recueillir le consentement de chacun des élèves. Obtenir le consentement verbal en utilisant la fiche d’informations correspondante (C.1.). S’assurer que le consentement verbal est enregistré et que deux enquêteurs assistent au processus.</w:t>
      </w:r>
    </w:p>
    <w:p w14:paraId="10C385C8" w14:textId="77777777" w:rsidR="000E2E95" w:rsidRPr="005669CE" w:rsidRDefault="00DB0A1C" w:rsidP="00CF2EED">
      <w:pPr>
        <w:pStyle w:val="ListParagraph"/>
        <w:numPr>
          <w:ilvl w:val="0"/>
          <w:numId w:val="9"/>
        </w:numPr>
        <w:tabs>
          <w:tab w:val="left" w:pos="478"/>
          <w:tab w:val="left" w:pos="480"/>
        </w:tabs>
        <w:spacing w:before="121"/>
        <w:jc w:val="both"/>
      </w:pPr>
      <w:r w:rsidRPr="005669CE">
        <w:rPr>
          <w:lang w:val="fr-FR"/>
        </w:rPr>
        <w:t xml:space="preserve">L’équipe d’enquêteurs doit s’efforcer de terminer les préparatifs énumérés ci-dessus tôt dans la matinée du </w:t>
      </w:r>
      <w:r w:rsidRPr="005669CE">
        <w:rPr>
          <w:lang w:val="fr-FR"/>
        </w:rPr>
        <w:lastRenderedPageBreak/>
        <w:t>jour de la collecte des données. Elle devra ensuite quitter le site de l’enquête pour se rendre dans l’école que l’équipe d’enquêteurs a prévu de visiter le jour suivant afin de répéter le même processus de consentement décrit ci-dessus.</w:t>
      </w:r>
    </w:p>
    <w:p w14:paraId="37F01137" w14:textId="77777777" w:rsidR="000E2E95" w:rsidRPr="005669CE" w:rsidRDefault="000E2E95" w:rsidP="00CE74C2">
      <w:pPr>
        <w:jc w:val="both"/>
        <w:sectPr w:rsidR="000E2E95" w:rsidRPr="005669CE" w:rsidSect="008622E9">
          <w:pgSz w:w="12240" w:h="15840"/>
          <w:pgMar w:top="1440" w:right="1077" w:bottom="1440" w:left="1077" w:header="720" w:footer="720" w:gutter="0"/>
          <w:cols w:space="720"/>
        </w:sectPr>
      </w:pPr>
    </w:p>
    <w:p w14:paraId="0FD1305E" w14:textId="77777777" w:rsidR="000E2E95" w:rsidRPr="005669CE" w:rsidRDefault="00DB0A1C" w:rsidP="003F1F88">
      <w:pPr>
        <w:pStyle w:val="Heading2"/>
      </w:pPr>
      <w:bookmarkStart w:id="66" w:name="_bookmark28"/>
      <w:bookmarkStart w:id="67" w:name="_Reassessment_Survey:_Information"/>
      <w:bookmarkStart w:id="68" w:name="_Toc181011888"/>
      <w:bookmarkEnd w:id="66"/>
      <w:bookmarkEnd w:id="67"/>
      <w:r>
        <w:rPr>
          <w:lang w:val="fr-FR"/>
        </w:rPr>
        <w:lastRenderedPageBreak/>
        <w:t>Évaluations pratiques et de précision sur la schistosomiase : Fiche d’informations – Parents (formulaire A.1)</w:t>
      </w:r>
      <w:bookmarkEnd w:id="68"/>
    </w:p>
    <w:p w14:paraId="67394144" w14:textId="77777777" w:rsidR="000E2E95" w:rsidRPr="005669CE" w:rsidRDefault="00DB0A1C" w:rsidP="00CE74C2">
      <w:pPr>
        <w:pStyle w:val="Heading4"/>
        <w:jc w:val="both"/>
      </w:pPr>
      <w:r w:rsidRPr="005669CE">
        <w:rPr>
          <w:lang w:val="fr-FR"/>
        </w:rPr>
        <w:t xml:space="preserve">Mesure de la prévalence de la schistosomiase et des helminthes transmis par le sol dans/en </w:t>
      </w:r>
      <w:r w:rsidRPr="005669CE">
        <w:rPr>
          <w:color w:val="000000"/>
          <w:spacing w:val="-2"/>
          <w:highlight w:val="yellow"/>
          <w:lang w:val="fr-FR"/>
        </w:rPr>
        <w:t>&lt;pays&gt;</w:t>
      </w:r>
    </w:p>
    <w:p w14:paraId="1A89B39C" w14:textId="77777777" w:rsidR="000E2E95" w:rsidRPr="005669CE" w:rsidRDefault="00DB0A1C" w:rsidP="001939B3">
      <w:pPr>
        <w:pStyle w:val="BodyText"/>
        <w:spacing w:before="120"/>
        <w:ind w:left="102" w:right="306"/>
      </w:pPr>
      <w:r w:rsidRPr="005669CE">
        <w:rPr>
          <w:lang w:val="fr-FR"/>
        </w:rPr>
        <w:t xml:space="preserve">Votre enfant est invité à participer à une étude de santé publique menée par le </w:t>
      </w:r>
      <w:r w:rsidRPr="005669CE">
        <w:rPr>
          <w:highlight w:val="yellow"/>
          <w:lang w:val="fr-FR"/>
        </w:rPr>
        <w:t>&lt;ministère compétent&gt;</w:t>
      </w:r>
      <w:r w:rsidRPr="005669CE">
        <w:rPr>
          <w:lang w:val="fr-FR"/>
        </w:rPr>
        <w:t>. La décision de participer ou non à cette activité vous appartient. Veuillez prendre tout le temps nécessaire pour lire la fiche d’informations. Une copie de ce formulaire vous sera remise.</w:t>
      </w:r>
    </w:p>
    <w:p w14:paraId="2FBC1C59" w14:textId="77777777" w:rsidR="000E2E95" w:rsidRPr="005669CE" w:rsidRDefault="00DB0A1C" w:rsidP="00CE74C2">
      <w:pPr>
        <w:pStyle w:val="Heading5"/>
        <w:spacing w:before="119"/>
        <w:jc w:val="both"/>
      </w:pPr>
      <w:r w:rsidRPr="005669CE">
        <w:rPr>
          <w:lang w:val="fr-FR"/>
        </w:rPr>
        <w:t>Sur quoi porte l’enquête ?</w:t>
      </w:r>
    </w:p>
    <w:p w14:paraId="5E985068" w14:textId="77777777" w:rsidR="000E2E95" w:rsidRPr="005669CE" w:rsidRDefault="00DB0A1C" w:rsidP="001939B3">
      <w:pPr>
        <w:pStyle w:val="BodyText"/>
        <w:spacing w:before="120"/>
        <w:ind w:left="102" w:right="306"/>
      </w:pPr>
      <w:r w:rsidRPr="005669CE">
        <w:rPr>
          <w:highlight w:val="yellow"/>
          <w:lang w:val="fr-FR"/>
        </w:rPr>
        <w:t>« Terme local pour bilharziose ou schistosomiase</w:t>
      </w:r>
      <w:r w:rsidRPr="005669CE">
        <w:rPr>
          <w:lang w:val="fr-FR"/>
        </w:rPr>
        <w:t xml:space="preserve"> » et autre </w:t>
      </w:r>
      <w:r w:rsidRPr="005669CE">
        <w:rPr>
          <w:highlight w:val="yellow"/>
          <w:lang w:val="fr-FR"/>
        </w:rPr>
        <w:t>« terme local pour vers intestinaux »</w:t>
      </w:r>
      <w:r w:rsidRPr="005669CE">
        <w:rPr>
          <w:lang w:val="fr-FR"/>
        </w:rPr>
        <w:t xml:space="preserve"> sont endémiques dans de grandes parties de </w:t>
      </w:r>
      <w:r w:rsidRPr="005669CE">
        <w:rPr>
          <w:highlight w:val="yellow"/>
          <w:lang w:val="fr-FR"/>
        </w:rPr>
        <w:t>&lt;pays&gt;</w:t>
      </w:r>
      <w:r w:rsidRPr="005669CE">
        <w:rPr>
          <w:lang w:val="fr-FR"/>
        </w:rPr>
        <w:t xml:space="preserve"> et constituent une menace majeure pour la santé publique. Pour y remédier, le </w:t>
      </w:r>
      <w:r w:rsidRPr="005669CE">
        <w:rPr>
          <w:highlight w:val="yellow"/>
          <w:lang w:val="fr-FR"/>
        </w:rPr>
        <w:t>&lt;ministère</w:t>
      </w:r>
      <w:r w:rsidRPr="005669CE">
        <w:rPr>
          <w:lang w:val="fr-FR"/>
        </w:rPr>
        <w:t xml:space="preserve"> </w:t>
      </w:r>
      <w:r w:rsidRPr="005669CE">
        <w:rPr>
          <w:highlight w:val="yellow"/>
          <w:lang w:val="fr-FR"/>
        </w:rPr>
        <w:t>compétent&gt;</w:t>
      </w:r>
      <w:r w:rsidRPr="005669CE">
        <w:rPr>
          <w:lang w:val="fr-FR"/>
        </w:rPr>
        <w:t xml:space="preserve"> a mené des activités d’administration massive de médicaments contre la schistosomiase et d’autres vers au cours des dernières années. Afin d’évaluer l’efficacité de ces campagnes de traitement, nous demandons aux enfants des deux sexes (âgés de 10 à 14 ans) de participer à une enquête qui nous permettra d’estimer le nombre d’enfants de votre communauté encore affectés par ces parasites.</w:t>
      </w:r>
    </w:p>
    <w:p w14:paraId="145189F7" w14:textId="77777777" w:rsidR="000E2E95" w:rsidRPr="005669CE" w:rsidRDefault="00DB0A1C" w:rsidP="00CE74C2">
      <w:pPr>
        <w:pStyle w:val="Heading5"/>
        <w:spacing w:before="120"/>
        <w:jc w:val="both"/>
      </w:pPr>
      <w:r w:rsidRPr="005669CE">
        <w:rPr>
          <w:lang w:val="fr-FR"/>
        </w:rPr>
        <w:t xml:space="preserve">Pourquoi l’école de votre enfant a-t-elle été sélectionnée pour participer à l’enquête ? </w:t>
      </w:r>
    </w:p>
    <w:p w14:paraId="17267697" w14:textId="77777777" w:rsidR="000E2E95" w:rsidRPr="005669CE" w:rsidRDefault="00DB0A1C" w:rsidP="001939B3">
      <w:pPr>
        <w:pStyle w:val="BodyText"/>
        <w:spacing w:before="120"/>
        <w:ind w:left="102" w:right="306"/>
      </w:pPr>
      <w:r w:rsidRPr="005669CE">
        <w:rPr>
          <w:lang w:val="fr-FR"/>
        </w:rPr>
        <w:t xml:space="preserve">L’école que fréquente votre enfant a été sélectionnée à partir d’une liste fournie par le </w:t>
      </w:r>
      <w:r w:rsidRPr="005669CE">
        <w:rPr>
          <w:color w:val="000000"/>
          <w:highlight w:val="yellow"/>
          <w:lang w:val="fr-FR"/>
        </w:rPr>
        <w:t>&lt;ministère compétent&gt;</w:t>
      </w:r>
      <w:r w:rsidRPr="005669CE">
        <w:rPr>
          <w:lang w:val="fr-FR"/>
        </w:rPr>
        <w:t xml:space="preserve"> d’écoles situées dans des communautés qui présentent un risque élevé d’exposition à « </w:t>
      </w:r>
      <w:r w:rsidRPr="005669CE">
        <w:rPr>
          <w:highlight w:val="yellow"/>
          <w:lang w:val="fr-FR"/>
        </w:rPr>
        <w:t>terme local pour la bilharziose ou la schistosomiase</w:t>
      </w:r>
      <w:r w:rsidRPr="005669CE">
        <w:rPr>
          <w:lang w:val="fr-FR"/>
        </w:rPr>
        <w:t xml:space="preserve"> ». Au total, </w:t>
      </w:r>
      <w:r w:rsidRPr="005669CE">
        <w:rPr>
          <w:highlight w:val="yellow"/>
          <w:lang w:val="fr-FR"/>
        </w:rPr>
        <w:t>xxx</w:t>
      </w:r>
      <w:r w:rsidRPr="005669CE">
        <w:rPr>
          <w:lang w:val="fr-FR"/>
        </w:rPr>
        <w:t xml:space="preserve"> ont été sélectionnées dans/en </w:t>
      </w:r>
      <w:r w:rsidRPr="005669CE">
        <w:rPr>
          <w:highlight w:val="yellow"/>
          <w:lang w:val="fr-FR"/>
        </w:rPr>
        <w:t>&lt;pays&gt;</w:t>
      </w:r>
      <w:r w:rsidRPr="005669CE">
        <w:rPr>
          <w:lang w:val="fr-FR"/>
        </w:rPr>
        <w:t xml:space="preserve"> afin d’obtenir une estimation représentative de la proportion d’enfants du pays qui ont besoin d’un traitement.</w:t>
      </w:r>
    </w:p>
    <w:p w14:paraId="39A038A0" w14:textId="77777777" w:rsidR="000E2E95" w:rsidRPr="005669CE" w:rsidRDefault="00DB0A1C" w:rsidP="00341A0D">
      <w:pPr>
        <w:pStyle w:val="BodyText"/>
      </w:pPr>
      <w:r w:rsidRPr="005669CE">
        <w:rPr>
          <w:lang w:val="fr-FR"/>
        </w:rPr>
        <w:t>Les enfants des deux sexes âgés de 10 à 14 ans qui fréquentent les écoles sélectionnées peuvent participer à cette étude. La sélection des participants reflète les groupes de population ciblés par les activités de traitement, conformément aux orientations de l’Organisation mondiale de la santé (OMS). Les enfants seront sélectionnés de manière aléatoire (par tirage au sort) le jour de l’enquête.</w:t>
      </w:r>
    </w:p>
    <w:p w14:paraId="52A92DB0" w14:textId="77777777" w:rsidR="000E2E95" w:rsidRPr="005669CE" w:rsidRDefault="00DB0A1C" w:rsidP="00CE74C2">
      <w:pPr>
        <w:pStyle w:val="Heading5"/>
        <w:spacing w:before="119"/>
        <w:jc w:val="both"/>
      </w:pPr>
      <w:r w:rsidRPr="005669CE">
        <w:rPr>
          <w:lang w:val="fr-FR"/>
        </w:rPr>
        <w:t xml:space="preserve"> Que se passera-t-il si mon enfant participe à cette enquête ? </w:t>
      </w:r>
    </w:p>
    <w:p w14:paraId="3F4A916E" w14:textId="77777777" w:rsidR="000E2E95" w:rsidRPr="005669CE" w:rsidRDefault="00DB0A1C" w:rsidP="001939B3">
      <w:pPr>
        <w:pStyle w:val="BodyText"/>
        <w:spacing w:before="120"/>
        <w:ind w:left="102" w:right="306"/>
      </w:pPr>
      <w:r w:rsidRPr="005669CE">
        <w:rPr>
          <w:lang w:val="fr-FR"/>
        </w:rPr>
        <w:t xml:space="preserve">Le jour de l’enquête, nous inviterons </w:t>
      </w:r>
      <w:r w:rsidRPr="001939B3">
        <w:rPr>
          <w:highlight w:val="yellow"/>
          <w:lang w:val="fr-FR"/>
        </w:rPr>
        <w:t>xx</w:t>
      </w:r>
      <w:r w:rsidRPr="005669CE">
        <w:rPr>
          <w:lang w:val="fr-FR"/>
        </w:rPr>
        <w:t xml:space="preserve"> filles et </w:t>
      </w:r>
      <w:r w:rsidRPr="001939B3">
        <w:rPr>
          <w:highlight w:val="yellow"/>
          <w:lang w:val="fr-FR"/>
        </w:rPr>
        <w:t>xx</w:t>
      </w:r>
      <w:r w:rsidRPr="005669CE">
        <w:rPr>
          <w:lang w:val="fr-FR"/>
        </w:rPr>
        <w:t> garçons de l’école de votre enfant à participer à l’enquête. Ces enfants seront sélectionnés de manière aléatoire (par tirage au sort) parmi les enfants ayant consenti à participer. Si vous donnez votre accord, nous ne pouvons pas dire à l’avance si votre enfant sera sélectionné.</w:t>
      </w:r>
    </w:p>
    <w:p w14:paraId="2AB9F04B" w14:textId="77777777" w:rsidR="00D22B1F" w:rsidRPr="005669CE" w:rsidRDefault="00D22B1F" w:rsidP="00CE74C2">
      <w:pPr>
        <w:pStyle w:val="Heading6"/>
        <w:spacing w:line="267" w:lineRule="exact"/>
        <w:jc w:val="both"/>
      </w:pPr>
    </w:p>
    <w:p w14:paraId="3A444417" w14:textId="77777777" w:rsidR="000E2E95" w:rsidRPr="005669CE" w:rsidRDefault="00DB0A1C" w:rsidP="00CE74C2">
      <w:pPr>
        <w:pStyle w:val="Heading6"/>
        <w:spacing w:line="267" w:lineRule="exact"/>
        <w:jc w:val="both"/>
      </w:pPr>
      <w:r w:rsidRPr="005669CE">
        <w:rPr>
          <w:lang w:val="fr-FR"/>
        </w:rPr>
        <w:t>Si votre enfant est sélectionné :</w:t>
      </w:r>
    </w:p>
    <w:p w14:paraId="67F4EDD6" w14:textId="77777777" w:rsidR="000E2E95" w:rsidRPr="005669CE" w:rsidRDefault="00DB0A1C" w:rsidP="00CF2EED">
      <w:pPr>
        <w:pStyle w:val="ListParagraph"/>
        <w:numPr>
          <w:ilvl w:val="0"/>
          <w:numId w:val="8"/>
        </w:numPr>
        <w:tabs>
          <w:tab w:val="left" w:pos="289"/>
        </w:tabs>
        <w:spacing w:before="22" w:line="257" w:lineRule="auto"/>
        <w:ind w:right="306" w:firstLine="0"/>
        <w:jc w:val="both"/>
      </w:pPr>
      <w:r w:rsidRPr="005669CE">
        <w:rPr>
          <w:lang w:val="fr-FR"/>
        </w:rPr>
        <w:t>Il sera demandé à votre enfant de fournir un échantillon d’urine et un échantillon de selles au cours d’une journée. Des pots d’échantillonnage seront fournis à votre enfant à l’école au moment de la collecte des données.</w:t>
      </w:r>
    </w:p>
    <w:p w14:paraId="3A550F85" w14:textId="77777777" w:rsidR="000E2E95" w:rsidRPr="005669CE" w:rsidRDefault="00DB0A1C" w:rsidP="00CF2EED">
      <w:pPr>
        <w:pStyle w:val="ListParagraph"/>
        <w:numPr>
          <w:ilvl w:val="0"/>
          <w:numId w:val="8"/>
        </w:numPr>
        <w:tabs>
          <w:tab w:val="left" w:pos="289"/>
        </w:tabs>
        <w:spacing w:before="4" w:line="259" w:lineRule="auto"/>
        <w:ind w:right="305" w:firstLine="0"/>
        <w:jc w:val="both"/>
      </w:pPr>
      <w:r w:rsidRPr="005669CE">
        <w:rPr>
          <w:lang w:val="fr-FR"/>
        </w:rPr>
        <w:t>Ces échantillons seront examinés par des techniciens de laboratoire afin d’identifier la substance parasitaire, et leurs résultats seront enregistrés électroniquement.</w:t>
      </w:r>
    </w:p>
    <w:p w14:paraId="6C4146EB" w14:textId="77777777" w:rsidR="000E2E95" w:rsidRPr="005669CE" w:rsidRDefault="00DB0A1C" w:rsidP="00CF2EED">
      <w:pPr>
        <w:pStyle w:val="ListParagraph"/>
        <w:numPr>
          <w:ilvl w:val="0"/>
          <w:numId w:val="8"/>
        </w:numPr>
        <w:tabs>
          <w:tab w:val="left" w:pos="289"/>
        </w:tabs>
        <w:spacing w:before="1" w:line="259" w:lineRule="auto"/>
        <w:ind w:right="305" w:firstLine="0"/>
        <w:jc w:val="both"/>
      </w:pPr>
      <w:r w:rsidRPr="005669CE">
        <w:rPr>
          <w:lang w:val="fr-FR"/>
        </w:rPr>
        <w:t>Les enquêteurs peuvent également demander à votre enfant son nom, son âge, son genre et lui poser quelques questions sur la scolarisation et les procédures sanitaires. Chaque classe participante sera appelée à tour de rôle pour participer à l’étude afin de limiter au maximum les perturbations des activités scolaires normales.</w:t>
      </w:r>
    </w:p>
    <w:p w14:paraId="1F4A8AE7" w14:textId="6FDE675B" w:rsidR="000E2E95" w:rsidRPr="005669CE" w:rsidRDefault="00F01155" w:rsidP="00F01155">
      <w:pPr>
        <w:pStyle w:val="ListParagraph"/>
        <w:numPr>
          <w:ilvl w:val="0"/>
          <w:numId w:val="8"/>
        </w:numPr>
        <w:tabs>
          <w:tab w:val="left" w:pos="289"/>
        </w:tabs>
        <w:spacing w:line="259" w:lineRule="auto"/>
        <w:ind w:right="305" w:firstLine="0"/>
        <w:jc w:val="both"/>
      </w:pPr>
      <w:r w:rsidRPr="00F01155">
        <w:rPr>
          <w:lang w:val="fr-FR"/>
        </w:rPr>
        <w:t xml:space="preserve">Des techniciens examineront les échantillons d’urine et de </w:t>
      </w:r>
      <w:proofErr w:type="spellStart"/>
      <w:r w:rsidRPr="00F01155">
        <w:rPr>
          <w:lang w:val="fr-FR"/>
        </w:rPr>
        <w:t>selles</w:t>
      </w:r>
      <w:proofErr w:type="spellEnd"/>
      <w:r w:rsidRPr="00F01155">
        <w:rPr>
          <w:lang w:val="fr-FR"/>
        </w:rPr>
        <w:t xml:space="preserve"> des élèves en laboratoire en utilisant des tests de diagnostic afin de détecter la présence de vers dans l’organisme</w:t>
      </w:r>
      <w:r w:rsidR="00DB0A1C" w:rsidRPr="005669CE">
        <w:rPr>
          <w:lang w:val="fr-FR"/>
        </w:rPr>
        <w:t xml:space="preserve">. Si nous constatons que </w:t>
      </w:r>
      <w:r w:rsidR="00DB0A1C" w:rsidRPr="005669CE">
        <w:rPr>
          <w:lang w:val="fr-FR"/>
        </w:rPr>
        <w:lastRenderedPageBreak/>
        <w:t xml:space="preserve">votre enfant est infecté par </w:t>
      </w:r>
      <w:r w:rsidR="00DB0A1C" w:rsidRPr="005669CE">
        <w:rPr>
          <w:color w:val="000000"/>
          <w:highlight w:val="yellow"/>
          <w:lang w:val="fr-FR"/>
        </w:rPr>
        <w:t>&lt;terme local pour</w:t>
      </w:r>
      <w:r w:rsidR="00DB0A1C" w:rsidRPr="005669CE">
        <w:rPr>
          <w:lang w:val="fr-FR"/>
        </w:rPr>
        <w:t xml:space="preserve"> </w:t>
      </w:r>
      <w:r w:rsidR="00DB0A1C" w:rsidRPr="005669CE">
        <w:rPr>
          <w:color w:val="000000"/>
          <w:highlight w:val="yellow"/>
          <w:lang w:val="fr-FR"/>
        </w:rPr>
        <w:t>schistosomiase&gt;</w:t>
      </w:r>
      <w:r w:rsidR="00DB0A1C" w:rsidRPr="005669CE">
        <w:rPr>
          <w:lang w:val="fr-FR"/>
        </w:rPr>
        <w:t>, le ministère de la Santé sera informé de la nécessité de mettre en place un traitement au sein de cette communauté.</w:t>
      </w:r>
    </w:p>
    <w:p w14:paraId="09BF7831" w14:textId="77777777" w:rsidR="000E2E95" w:rsidRPr="005669CE" w:rsidRDefault="00DB0A1C" w:rsidP="00CF2EED">
      <w:pPr>
        <w:pStyle w:val="ListParagraph"/>
        <w:numPr>
          <w:ilvl w:val="0"/>
          <w:numId w:val="8"/>
        </w:numPr>
        <w:tabs>
          <w:tab w:val="left" w:pos="289"/>
        </w:tabs>
        <w:spacing w:line="259" w:lineRule="auto"/>
        <w:ind w:right="305" w:firstLine="0"/>
        <w:jc w:val="both"/>
      </w:pPr>
      <w:r w:rsidRPr="005669CE">
        <w:rPr>
          <w:color w:val="000000"/>
          <w:highlight w:val="yellow"/>
          <w:lang w:val="fr-FR"/>
        </w:rPr>
        <w:t>À l’issue de l’enquête, votre enfant se verra proposer un traitement contre cette infection dans le cadre du programme de</w:t>
      </w:r>
      <w:r w:rsidRPr="005669CE">
        <w:rPr>
          <w:color w:val="000000"/>
          <w:lang w:val="fr-FR"/>
        </w:rPr>
        <w:t xml:space="preserve"> </w:t>
      </w:r>
      <w:proofErr w:type="spellStart"/>
      <w:r w:rsidRPr="005669CE">
        <w:rPr>
          <w:color w:val="000000"/>
          <w:highlight w:val="yellow"/>
          <w:lang w:val="fr-FR"/>
        </w:rPr>
        <w:t>vermifugation</w:t>
      </w:r>
      <w:proofErr w:type="spellEnd"/>
      <w:r w:rsidRPr="005669CE">
        <w:rPr>
          <w:color w:val="000000"/>
          <w:highlight w:val="yellow"/>
          <w:lang w:val="fr-FR"/>
        </w:rPr>
        <w:t xml:space="preserve"> mis en place par le ministère.</w:t>
      </w:r>
    </w:p>
    <w:p w14:paraId="1172B317" w14:textId="77777777" w:rsidR="000E2E95" w:rsidRPr="005669CE" w:rsidRDefault="00DB0A1C" w:rsidP="00CE74C2">
      <w:pPr>
        <w:pStyle w:val="Heading5"/>
        <w:spacing w:before="116"/>
        <w:jc w:val="both"/>
      </w:pPr>
      <w:r w:rsidRPr="005669CE">
        <w:rPr>
          <w:lang w:val="fr-FR"/>
        </w:rPr>
        <w:t xml:space="preserve"> Cette enquête présente-t-elle des risques ? </w:t>
      </w:r>
    </w:p>
    <w:p w14:paraId="784D312D" w14:textId="77777777" w:rsidR="000E2E95" w:rsidRPr="005669CE" w:rsidRDefault="00DB0A1C" w:rsidP="00341A0D">
      <w:pPr>
        <w:pStyle w:val="BodyText"/>
      </w:pPr>
      <w:r w:rsidRPr="005669CE">
        <w:rPr>
          <w:lang w:val="fr-FR"/>
        </w:rPr>
        <w:t>Nous ne prévoyons aucun risque physique due à la participation de votre enfant. Certains enfants peuvent être gênés par l’activité ou avoir des inquiétudes quant à leur hygiène. Pour faciliter le processus, votre enfant recevra un récipient vide pour les selles et l’urine, ainsi que des instructions sur la manière de prélever en toute sécurité les échantillons d’urine et de selles nécessaires. Toutefois, si à tout moment votre enfant se sent mal à l’aise avec le processus, il sera libre d’interrompre sa participation. À tout moment, l’élève a également le droit de ne pas répondre à une question.</w:t>
      </w:r>
    </w:p>
    <w:p w14:paraId="4464718D" w14:textId="77777777" w:rsidR="000E2E95" w:rsidRPr="005669CE" w:rsidRDefault="00DB0A1C" w:rsidP="00CE74C2">
      <w:pPr>
        <w:pStyle w:val="Heading5"/>
        <w:spacing w:before="120"/>
        <w:jc w:val="both"/>
      </w:pPr>
      <w:r w:rsidRPr="005669CE">
        <w:rPr>
          <w:lang w:val="fr-FR"/>
        </w:rPr>
        <w:t xml:space="preserve"> Y a-t-il des avantages à participer ?</w:t>
      </w:r>
    </w:p>
    <w:p w14:paraId="5C64FEC5" w14:textId="77777777" w:rsidR="000E2E95" w:rsidRPr="005669CE" w:rsidRDefault="00DB0A1C" w:rsidP="00341A0D">
      <w:pPr>
        <w:pStyle w:val="BodyText"/>
      </w:pPr>
      <w:r w:rsidRPr="005669CE">
        <w:rPr>
          <w:lang w:val="fr-FR"/>
        </w:rPr>
        <w:t xml:space="preserve">Votre ménage se trouve dans une communauté qui a été identifiée comme étant à risque de contracter </w:t>
      </w:r>
      <w:r w:rsidRPr="005669CE">
        <w:rPr>
          <w:highlight w:val="yellow"/>
          <w:lang w:val="fr-FR"/>
        </w:rPr>
        <w:t>« terme local pour</w:t>
      </w:r>
      <w:r w:rsidRPr="005669CE">
        <w:rPr>
          <w:lang w:val="fr-FR"/>
        </w:rPr>
        <w:t xml:space="preserve"> </w:t>
      </w:r>
      <w:r w:rsidRPr="005669CE">
        <w:rPr>
          <w:highlight w:val="yellow"/>
          <w:lang w:val="fr-FR"/>
        </w:rPr>
        <w:t>bilharziose ou schistosomiase</w:t>
      </w:r>
      <w:r w:rsidRPr="005669CE">
        <w:rPr>
          <w:lang w:val="fr-FR"/>
        </w:rPr>
        <w:t xml:space="preserve"> ». Cette étude permettra de déterminer l’efficacité des activités de traitement dans la région et les stratégies de traitement les mieux à même de réduire la présence de </w:t>
      </w:r>
      <w:r w:rsidRPr="005669CE">
        <w:rPr>
          <w:highlight w:val="yellow"/>
          <w:lang w:val="fr-FR"/>
        </w:rPr>
        <w:t>« terme local</w:t>
      </w:r>
      <w:r w:rsidRPr="005669CE">
        <w:rPr>
          <w:lang w:val="fr-FR"/>
        </w:rPr>
        <w:t xml:space="preserve"> pour bilharziose</w:t>
      </w:r>
      <w:r w:rsidRPr="005669CE">
        <w:rPr>
          <w:highlight w:val="yellow"/>
          <w:lang w:val="fr-FR"/>
        </w:rPr>
        <w:t xml:space="preserve"> ou schistosomiase</w:t>
      </w:r>
      <w:r w:rsidRPr="005669CE">
        <w:rPr>
          <w:lang w:val="fr-FR"/>
        </w:rPr>
        <w:t> » dans cette région. La réduction de la prévalence de la maladie dans la région devrait améliorer la santé des enfants à long terme.</w:t>
      </w:r>
    </w:p>
    <w:p w14:paraId="298EAF86" w14:textId="77777777" w:rsidR="000E2E95" w:rsidRPr="005669CE" w:rsidRDefault="00DB0A1C" w:rsidP="00341A0D">
      <w:pPr>
        <w:pStyle w:val="BodyText"/>
      </w:pPr>
      <w:r w:rsidRPr="005669CE">
        <w:rPr>
          <w:lang w:val="fr-FR"/>
        </w:rPr>
        <w:t xml:space="preserve">En cas de diagnostic positif, un traitement sera proposé dans le cadre du programme de </w:t>
      </w:r>
      <w:proofErr w:type="spellStart"/>
      <w:r w:rsidRPr="005669CE">
        <w:rPr>
          <w:lang w:val="fr-FR"/>
        </w:rPr>
        <w:t>vermifugation</w:t>
      </w:r>
      <w:proofErr w:type="spellEnd"/>
      <w:r w:rsidRPr="005669CE">
        <w:rPr>
          <w:lang w:val="fr-FR"/>
        </w:rPr>
        <w:t xml:space="preserve"> à l’échelle du district mis en œuvre par le </w:t>
      </w:r>
      <w:r w:rsidRPr="005669CE">
        <w:rPr>
          <w:color w:val="000000"/>
          <w:highlight w:val="yellow"/>
          <w:lang w:val="fr-FR"/>
        </w:rPr>
        <w:t>&lt;ministère compétent&gt;</w:t>
      </w:r>
      <w:r w:rsidRPr="005669CE">
        <w:rPr>
          <w:lang w:val="fr-FR"/>
        </w:rPr>
        <w:t>, une fois l’enquête achevée. Le traitement peut améliorer l’état de santé général de votre enfant, notamment en réduisant les problèmes d’estomac et les douleurs urinaires, en diminuant la fatigue et la faiblesse et en améliorant l’assimilation des nutriments.</w:t>
      </w:r>
    </w:p>
    <w:p w14:paraId="61F066FE" w14:textId="77777777" w:rsidR="000E2E95" w:rsidRPr="005669CE" w:rsidRDefault="00DB0A1C" w:rsidP="00CE74C2">
      <w:pPr>
        <w:pStyle w:val="Heading5"/>
        <w:spacing w:before="139"/>
        <w:jc w:val="both"/>
      </w:pPr>
      <w:r w:rsidRPr="005669CE">
        <w:rPr>
          <w:lang w:val="fr-FR"/>
        </w:rPr>
        <w:t>La participation de mes enfants sera-t-elle confidentielle ?</w:t>
      </w:r>
    </w:p>
    <w:p w14:paraId="5EAC0AC5" w14:textId="77777777" w:rsidR="000E2E95" w:rsidRPr="005669CE" w:rsidRDefault="00DB0A1C" w:rsidP="00341A0D">
      <w:pPr>
        <w:pStyle w:val="BodyText"/>
      </w:pPr>
      <w:r w:rsidRPr="005669CE">
        <w:rPr>
          <w:lang w:val="fr-FR"/>
        </w:rPr>
        <w:t>Toutes les informations personnelles et les résultats des diagnostics seront enregistrés sur des formulaires électroniques, qui resteront confidentiels. Seul un petit nombre de personnes de l’équipe chargée de l’enquête sera autorisé à consulter les informations concernant votre enfant, telles que son nom. Une fois l’enquête terminée, le nom de votre enfant sera supprimé des données, et les données restantes seront conservées dans une base de données en ligne. Personne ne pourra établir de lien entre les résultats des tests et vous ou votre enfant. Les données seront mises à la disposition d’autres chercheurs dans le monde entier à des fins de recherche et d’amélioration des connaissances médicales. Cependant, vos informations personnelles ne seront pas incluses et il n’y aura aucun moyen de vous identifier.</w:t>
      </w:r>
    </w:p>
    <w:p w14:paraId="09260202" w14:textId="77777777" w:rsidR="000E2E95" w:rsidRPr="005669CE" w:rsidRDefault="00DB0A1C" w:rsidP="00CE74C2">
      <w:pPr>
        <w:pStyle w:val="Heading5"/>
        <w:spacing w:before="118"/>
        <w:jc w:val="both"/>
      </w:pPr>
      <w:r w:rsidRPr="005669CE">
        <w:rPr>
          <w:lang w:val="fr-FR"/>
        </w:rPr>
        <w:t>Que se passe-t-il si je change d’avis ?</w:t>
      </w:r>
    </w:p>
    <w:p w14:paraId="1227C36C" w14:textId="77777777" w:rsidR="000E2E95" w:rsidRPr="005669CE" w:rsidRDefault="00DB0A1C" w:rsidP="00341A0D">
      <w:pPr>
        <w:pStyle w:val="BodyText"/>
      </w:pPr>
      <w:r w:rsidRPr="005669CE">
        <w:rPr>
          <w:lang w:val="fr-FR"/>
        </w:rPr>
        <w:t>La participation de votre enfant à l’étude est volontaire. Votre refus quant à la participation de votre enfant à l’étude n’entraînera aucune conséquence particulière. L’élève peut interrompre sa participation à tout moment sans en donner la raison et refuser de répondre à toute question qui le met mal à l’aise.</w:t>
      </w:r>
    </w:p>
    <w:p w14:paraId="1A80BEA8" w14:textId="77777777" w:rsidR="000E2E95" w:rsidRPr="005669CE" w:rsidRDefault="00DB0A1C" w:rsidP="00CE74C2">
      <w:pPr>
        <w:pStyle w:val="Heading5"/>
        <w:spacing w:before="119"/>
        <w:jc w:val="both"/>
      </w:pPr>
      <w:r w:rsidRPr="005669CE">
        <w:rPr>
          <w:lang w:val="fr-FR"/>
        </w:rPr>
        <w:t>Que se passe-t-il en cas de problème ?</w:t>
      </w:r>
    </w:p>
    <w:p w14:paraId="581F0441" w14:textId="77777777" w:rsidR="000E2E95" w:rsidRPr="005669CE" w:rsidRDefault="00DB0A1C" w:rsidP="00341A0D">
      <w:pPr>
        <w:pStyle w:val="BodyText"/>
      </w:pPr>
      <w:r w:rsidRPr="005669CE">
        <w:rPr>
          <w:lang w:val="fr-FR"/>
        </w:rPr>
        <w:t>Si vous avez des questions ou des inquiétudes concernant les données collectées au cours de l’enquête, n’hésitez pas à interrompre le processus et à nous en parler.</w:t>
      </w:r>
    </w:p>
    <w:p w14:paraId="38F3078F" w14:textId="77777777" w:rsidR="000E2E95" w:rsidRPr="005669CE" w:rsidRDefault="00DB0A1C" w:rsidP="00341A0D">
      <w:pPr>
        <w:pStyle w:val="BodyText"/>
      </w:pPr>
      <w:r w:rsidRPr="005669CE">
        <w:rPr>
          <w:lang w:val="fr-FR"/>
        </w:rPr>
        <w:t xml:space="preserve">Si, à un stade ultérieur, vous souhaitez retirer les informations relatives à votre enfant ou si vous avez des doutes à propos de cette enquête, vous pouvez nous contacter à tout moment en utilisant les informations </w:t>
      </w:r>
      <w:r w:rsidRPr="005669CE">
        <w:rPr>
          <w:lang w:val="fr-FR"/>
        </w:rPr>
        <w:lastRenderedPageBreak/>
        <w:t>figurant sur la carte fournie :</w:t>
      </w:r>
    </w:p>
    <w:p w14:paraId="5E75B989" w14:textId="77777777" w:rsidR="000E2E95" w:rsidRPr="005669CE" w:rsidRDefault="00DB0A1C" w:rsidP="00CE74C2">
      <w:pPr>
        <w:spacing w:before="119"/>
        <w:ind w:left="120"/>
        <w:jc w:val="both"/>
      </w:pPr>
      <w:r w:rsidRPr="005669CE">
        <w:rPr>
          <w:b/>
          <w:bCs/>
          <w:lang w:val="fr-FR"/>
        </w:rPr>
        <w:t>Agent en charge de la protection des données personnelles </w:t>
      </w:r>
      <w:r w:rsidRPr="005669CE">
        <w:rPr>
          <w:lang w:val="fr-FR"/>
        </w:rPr>
        <w:t xml:space="preserve">: </w:t>
      </w:r>
      <w:proofErr w:type="spellStart"/>
      <w:r w:rsidRPr="005669CE">
        <w:rPr>
          <w:color w:val="000000"/>
          <w:spacing w:val="-4"/>
          <w:highlight w:val="yellow"/>
          <w:lang w:val="fr-FR"/>
        </w:rPr>
        <w:t>xxxx</w:t>
      </w:r>
      <w:proofErr w:type="spellEnd"/>
    </w:p>
    <w:p w14:paraId="655BACA3" w14:textId="77777777" w:rsidR="000E2E95" w:rsidRPr="005669CE" w:rsidRDefault="00DB0A1C" w:rsidP="00341A0D">
      <w:pPr>
        <w:pStyle w:val="BodyText"/>
      </w:pPr>
      <w:r w:rsidRPr="005669CE">
        <w:rPr>
          <w:highlight w:val="yellow"/>
          <w:lang w:val="fr-FR"/>
        </w:rPr>
        <w:t>&lt;Tout autre membre du personnel du ministère ou du comité d’éthique de votre pays&gt;</w:t>
      </w:r>
    </w:p>
    <w:p w14:paraId="08FACA53" w14:textId="77777777" w:rsidR="000E2E95" w:rsidRPr="005669CE" w:rsidRDefault="000E2E95" w:rsidP="00CE74C2">
      <w:pPr>
        <w:jc w:val="both"/>
        <w:sectPr w:rsidR="000E2E95" w:rsidRPr="005669CE" w:rsidSect="008622E9">
          <w:pgSz w:w="12240" w:h="15840"/>
          <w:pgMar w:top="1440" w:right="1077" w:bottom="1440" w:left="1077" w:header="720" w:footer="720" w:gutter="0"/>
          <w:cols w:space="720"/>
        </w:sectPr>
      </w:pPr>
    </w:p>
    <w:p w14:paraId="18309537" w14:textId="77777777" w:rsidR="000E2E95" w:rsidRPr="005669CE" w:rsidRDefault="00DB0A1C" w:rsidP="003F1F88">
      <w:pPr>
        <w:pStyle w:val="Heading2"/>
      </w:pPr>
      <w:bookmarkStart w:id="69" w:name="_bookmark29"/>
      <w:bookmarkStart w:id="70" w:name="_Toc181011889"/>
      <w:bookmarkEnd w:id="69"/>
      <w:r>
        <w:rPr>
          <w:lang w:val="fr-FR"/>
        </w:rPr>
        <w:lastRenderedPageBreak/>
        <w:t>Évaluations pratiques et de précision sur la schistosomiase : Fiche d’informations – Responsable d’établissement (formulaire B.1)</w:t>
      </w:r>
      <w:bookmarkEnd w:id="70"/>
    </w:p>
    <w:p w14:paraId="1AD92843" w14:textId="77777777" w:rsidR="000E2E95" w:rsidRPr="005669CE" w:rsidRDefault="00DB0A1C" w:rsidP="00CE74C2">
      <w:pPr>
        <w:pStyle w:val="Heading4"/>
        <w:jc w:val="both"/>
      </w:pPr>
      <w:r w:rsidRPr="005669CE">
        <w:rPr>
          <w:lang w:val="fr-FR"/>
        </w:rPr>
        <w:t xml:space="preserve">Mesure de la prévalence de la schistosomiase et des helminthes transmis par le sol dans/en </w:t>
      </w:r>
      <w:r w:rsidRPr="005669CE">
        <w:rPr>
          <w:color w:val="000000"/>
          <w:spacing w:val="-2"/>
          <w:highlight w:val="yellow"/>
          <w:lang w:val="fr-FR"/>
        </w:rPr>
        <w:t>&lt;pays&gt;</w:t>
      </w:r>
    </w:p>
    <w:p w14:paraId="17EA5E8B" w14:textId="77777777" w:rsidR="000E2E95" w:rsidRPr="005669CE" w:rsidRDefault="00DB0A1C" w:rsidP="001939B3">
      <w:pPr>
        <w:pStyle w:val="BodyText"/>
        <w:spacing w:before="120"/>
        <w:ind w:left="102" w:right="306"/>
      </w:pPr>
      <w:r w:rsidRPr="005669CE">
        <w:rPr>
          <w:lang w:val="fr-FR"/>
        </w:rPr>
        <w:t xml:space="preserve">Les élèves de l’école que vous dirigez sont invités à participer à une étude de santé publique menée par le </w:t>
      </w:r>
      <w:r w:rsidRPr="005669CE">
        <w:rPr>
          <w:highlight w:val="yellow"/>
          <w:lang w:val="fr-FR"/>
        </w:rPr>
        <w:t>&lt;ministère compétent&gt;</w:t>
      </w:r>
      <w:r w:rsidRPr="005669CE">
        <w:rPr>
          <w:lang w:val="fr-FR"/>
        </w:rPr>
        <w:t>. Veuillez prendre tout le temps nécessaire pour lire la fiche d’informations. Une copie de ce formulaire vous sera remise.</w:t>
      </w:r>
    </w:p>
    <w:p w14:paraId="1539C9EC" w14:textId="77777777" w:rsidR="000E2E95" w:rsidRPr="005669CE" w:rsidRDefault="00DB0A1C" w:rsidP="00CE74C2">
      <w:pPr>
        <w:pStyle w:val="Heading5"/>
        <w:spacing w:before="120"/>
        <w:jc w:val="both"/>
      </w:pPr>
      <w:r w:rsidRPr="005669CE">
        <w:rPr>
          <w:lang w:val="fr-FR"/>
        </w:rPr>
        <w:t>Sur quoi porte l’enquête ?</w:t>
      </w:r>
    </w:p>
    <w:p w14:paraId="65042AE3" w14:textId="77777777" w:rsidR="000E2E95" w:rsidRPr="005669CE" w:rsidRDefault="00DB0A1C" w:rsidP="001939B3">
      <w:pPr>
        <w:pStyle w:val="BodyText"/>
        <w:spacing w:before="120"/>
        <w:ind w:left="102" w:right="306"/>
      </w:pPr>
      <w:r w:rsidRPr="005669CE">
        <w:rPr>
          <w:highlight w:val="yellow"/>
          <w:lang w:val="fr-FR"/>
        </w:rPr>
        <w:t>« Terme local pour bilharziose ou schistosomiase</w:t>
      </w:r>
      <w:r w:rsidRPr="005669CE">
        <w:rPr>
          <w:lang w:val="fr-FR"/>
        </w:rPr>
        <w:t xml:space="preserve"> » et autre </w:t>
      </w:r>
      <w:r w:rsidRPr="005669CE">
        <w:rPr>
          <w:highlight w:val="yellow"/>
          <w:lang w:val="fr-FR"/>
        </w:rPr>
        <w:t>« terme local pour vers intestinaux »</w:t>
      </w:r>
      <w:r w:rsidRPr="005669CE">
        <w:rPr>
          <w:lang w:val="fr-FR"/>
        </w:rPr>
        <w:t xml:space="preserve"> sont endémiques dans de grandes parties de </w:t>
      </w:r>
      <w:r w:rsidRPr="005669CE">
        <w:rPr>
          <w:highlight w:val="yellow"/>
          <w:lang w:val="fr-FR"/>
        </w:rPr>
        <w:t>&lt;pays&gt;</w:t>
      </w:r>
      <w:r w:rsidRPr="005669CE">
        <w:rPr>
          <w:lang w:val="fr-FR"/>
        </w:rPr>
        <w:t xml:space="preserve"> et constituent une menace majeure pour la santé publique. Pour y remédier, le </w:t>
      </w:r>
      <w:r w:rsidRPr="005669CE">
        <w:rPr>
          <w:highlight w:val="yellow"/>
          <w:lang w:val="fr-FR"/>
        </w:rPr>
        <w:t>&lt;ministère</w:t>
      </w:r>
      <w:r w:rsidRPr="005669CE">
        <w:rPr>
          <w:lang w:val="fr-FR"/>
        </w:rPr>
        <w:t xml:space="preserve"> </w:t>
      </w:r>
      <w:r w:rsidRPr="005669CE">
        <w:rPr>
          <w:highlight w:val="yellow"/>
          <w:lang w:val="fr-FR"/>
        </w:rPr>
        <w:t>compétent&gt;</w:t>
      </w:r>
      <w:r w:rsidRPr="005669CE">
        <w:rPr>
          <w:lang w:val="fr-FR"/>
        </w:rPr>
        <w:t xml:space="preserve"> a mené des activités d’administration massive de médicaments contre la schistosomiase et d’autres vers au cours des dernières années. Afin d’évaluer l’efficacité de ces campagnes de traitement, nous demandons aux enfants des deux sexes (de 10 à 14 ans) de participer à une enquête qui nous permettra d’estimer le nombre d’enfants de votre communauté encore affectés par ces parasites.</w:t>
      </w:r>
    </w:p>
    <w:p w14:paraId="6BEE4398" w14:textId="77777777" w:rsidR="000E2E95" w:rsidRPr="005669CE" w:rsidRDefault="00DB0A1C" w:rsidP="00CE74C2">
      <w:pPr>
        <w:pStyle w:val="Heading5"/>
        <w:spacing w:before="121"/>
        <w:jc w:val="both"/>
      </w:pPr>
      <w:r w:rsidRPr="005669CE">
        <w:rPr>
          <w:lang w:val="fr-FR"/>
        </w:rPr>
        <w:t xml:space="preserve">Pourquoi votre école a-t-elle été sélectionnée pour participer à l’enquête ? </w:t>
      </w:r>
    </w:p>
    <w:p w14:paraId="2EA40519" w14:textId="77777777" w:rsidR="000E2E95" w:rsidRPr="005669CE" w:rsidRDefault="00DB0A1C" w:rsidP="001939B3">
      <w:pPr>
        <w:pStyle w:val="BodyText"/>
        <w:spacing w:before="120"/>
        <w:ind w:left="102" w:right="306"/>
      </w:pPr>
      <w:r w:rsidRPr="005669CE">
        <w:rPr>
          <w:lang w:val="fr-FR"/>
        </w:rPr>
        <w:t xml:space="preserve">Votre école a été sélectionnée sur une liste du </w:t>
      </w:r>
      <w:r w:rsidRPr="005669CE">
        <w:rPr>
          <w:highlight w:val="yellow"/>
          <w:lang w:val="fr-FR"/>
        </w:rPr>
        <w:t>&lt;ministère compétent&gt;</w:t>
      </w:r>
      <w:r w:rsidRPr="005669CE">
        <w:rPr>
          <w:lang w:val="fr-FR"/>
        </w:rPr>
        <w:t xml:space="preserve"> d’écoles situées dans des communautés qui présentent un risque élevé d’exposition à </w:t>
      </w:r>
      <w:r w:rsidRPr="005669CE">
        <w:rPr>
          <w:highlight w:val="yellow"/>
          <w:lang w:val="fr-FR"/>
        </w:rPr>
        <w:t>« terme local pour la bilharziose ou la schistosomiase</w:t>
      </w:r>
      <w:r w:rsidRPr="005669CE">
        <w:rPr>
          <w:lang w:val="fr-FR"/>
        </w:rPr>
        <w:t xml:space="preserve"> ». Au total, </w:t>
      </w:r>
      <w:r w:rsidRPr="005669CE">
        <w:rPr>
          <w:highlight w:val="yellow"/>
          <w:lang w:val="fr-FR"/>
        </w:rPr>
        <w:t>xxx</w:t>
      </w:r>
      <w:r w:rsidRPr="005669CE">
        <w:rPr>
          <w:lang w:val="fr-FR"/>
        </w:rPr>
        <w:t xml:space="preserve"> ont été sélectionnées dans/en </w:t>
      </w:r>
      <w:r w:rsidRPr="005669CE">
        <w:rPr>
          <w:highlight w:val="yellow"/>
          <w:lang w:val="fr-FR"/>
        </w:rPr>
        <w:t>&lt;pays&gt;</w:t>
      </w:r>
      <w:r w:rsidRPr="005669CE">
        <w:rPr>
          <w:lang w:val="fr-FR"/>
        </w:rPr>
        <w:t xml:space="preserve"> afin d’obtenir une estimation représentative de la proportion d’enfants du pays qui ont besoin d’un traitement.</w:t>
      </w:r>
    </w:p>
    <w:p w14:paraId="656452B1" w14:textId="77777777" w:rsidR="000E2E95" w:rsidRPr="005669CE" w:rsidRDefault="00DB0A1C" w:rsidP="001939B3">
      <w:pPr>
        <w:pStyle w:val="BodyText"/>
        <w:spacing w:before="120"/>
      </w:pPr>
      <w:r w:rsidRPr="005669CE">
        <w:rPr>
          <w:lang w:val="fr-FR"/>
        </w:rPr>
        <w:t>Les enfants des deux sexes âgés de 10 à 14 ans qui fréquentent les écoles sélectionnées peuvent participer à cette étude. La sélection des participants reflète les groupes de population ciblés par les activités de traitement, conformément aux orientations de l’Organisation mondiale de la santé (OMS). Les enfants seront sélectionnés de manière aléatoire (par tirage au sort) le jour de l’enquête. Les enfants seront sélectionnés de manière aléatoire (par tirage au sort) le jour de l’enquête.</w:t>
      </w:r>
    </w:p>
    <w:p w14:paraId="54C53C7F" w14:textId="77777777" w:rsidR="000E2E95" w:rsidRPr="005669CE" w:rsidRDefault="00DB0A1C" w:rsidP="00CE74C2">
      <w:pPr>
        <w:pStyle w:val="Heading5"/>
        <w:spacing w:before="119"/>
        <w:jc w:val="both"/>
      </w:pPr>
      <w:r w:rsidRPr="005669CE">
        <w:rPr>
          <w:lang w:val="fr-FR"/>
        </w:rPr>
        <w:t xml:space="preserve"> Que se passera-t-il si mon enfant participe à cette enquête ? </w:t>
      </w:r>
    </w:p>
    <w:p w14:paraId="2DAEB911" w14:textId="46F37992" w:rsidR="000E2E95" w:rsidRPr="005669CE" w:rsidRDefault="00F01155" w:rsidP="00F01155">
      <w:pPr>
        <w:pStyle w:val="ListParagraph"/>
        <w:numPr>
          <w:ilvl w:val="0"/>
          <w:numId w:val="7"/>
        </w:numPr>
        <w:tabs>
          <w:tab w:val="left" w:pos="480"/>
        </w:tabs>
        <w:spacing w:before="120"/>
        <w:ind w:left="840" w:right="305"/>
        <w:jc w:val="both"/>
      </w:pPr>
      <w:r w:rsidRPr="00F01155">
        <w:rPr>
          <w:lang w:val="fr-FR"/>
        </w:rPr>
        <w:t>Les élèves devront fournir un échantillon d’urine et un échantillon de selles sur une journée. Des pots d’échantillonnage seront fournis aux élèves à l’école au moment de la collecte des données</w:t>
      </w:r>
      <w:r w:rsidR="00DB0A1C" w:rsidRPr="005669CE">
        <w:rPr>
          <w:lang w:val="fr-FR"/>
        </w:rPr>
        <w:t>.</w:t>
      </w:r>
    </w:p>
    <w:p w14:paraId="22FE8E5B" w14:textId="77777777" w:rsidR="000E2E95" w:rsidRPr="005669CE" w:rsidRDefault="00DB0A1C" w:rsidP="001939B3">
      <w:pPr>
        <w:pStyle w:val="ListParagraph"/>
        <w:numPr>
          <w:ilvl w:val="0"/>
          <w:numId w:val="7"/>
        </w:numPr>
        <w:tabs>
          <w:tab w:val="left" w:pos="480"/>
        </w:tabs>
        <w:ind w:left="840" w:right="305"/>
        <w:jc w:val="both"/>
      </w:pPr>
      <w:r w:rsidRPr="005669CE">
        <w:rPr>
          <w:lang w:val="fr-FR"/>
        </w:rPr>
        <w:t>Ces échantillons seront examinés par des techniciens de laboratoire afin d’identifier la substance parasitaire, et leurs résultats seront enregistrés électroniquement.</w:t>
      </w:r>
    </w:p>
    <w:p w14:paraId="1AA7EFFC" w14:textId="77777777" w:rsidR="000E2E95" w:rsidRPr="005669CE" w:rsidRDefault="00DB0A1C" w:rsidP="001939B3">
      <w:pPr>
        <w:pStyle w:val="ListParagraph"/>
        <w:numPr>
          <w:ilvl w:val="0"/>
          <w:numId w:val="7"/>
        </w:numPr>
        <w:tabs>
          <w:tab w:val="left" w:pos="480"/>
        </w:tabs>
        <w:ind w:left="840" w:right="305"/>
        <w:jc w:val="both"/>
      </w:pPr>
      <w:r w:rsidRPr="005669CE">
        <w:rPr>
          <w:lang w:val="fr-FR"/>
        </w:rPr>
        <w:t>Les enquêteurs peuvent également demander aux élèves leur nom, leur âge, leur genre et leur poser quelques questions sur la scolarisation et les procédures sanitaires.</w:t>
      </w:r>
    </w:p>
    <w:p w14:paraId="37AE4F7E" w14:textId="77777777" w:rsidR="000E2E95" w:rsidRPr="005669CE" w:rsidRDefault="00DB0A1C" w:rsidP="001939B3">
      <w:pPr>
        <w:pStyle w:val="ListParagraph"/>
        <w:numPr>
          <w:ilvl w:val="0"/>
          <w:numId w:val="7"/>
        </w:numPr>
        <w:tabs>
          <w:tab w:val="left" w:pos="480"/>
        </w:tabs>
        <w:ind w:left="840" w:right="305"/>
        <w:jc w:val="both"/>
      </w:pPr>
      <w:r w:rsidRPr="005669CE">
        <w:rPr>
          <w:lang w:val="fr-FR"/>
        </w:rPr>
        <w:t>Chaque classe participante sera appelée à tour de rôle à participer à l’étude afin de limiter au maximum les perturbations des activités scolaires normales.</w:t>
      </w:r>
    </w:p>
    <w:p w14:paraId="352C7069" w14:textId="44D62D59" w:rsidR="000E2E95" w:rsidRPr="00F01155" w:rsidRDefault="00F01155" w:rsidP="001939B3">
      <w:pPr>
        <w:pStyle w:val="ListParagraph"/>
        <w:numPr>
          <w:ilvl w:val="0"/>
          <w:numId w:val="7"/>
        </w:numPr>
        <w:tabs>
          <w:tab w:val="left" w:pos="480"/>
        </w:tabs>
        <w:spacing w:line="269" w:lineRule="exact"/>
        <w:ind w:left="840" w:right="305"/>
        <w:jc w:val="both"/>
        <w:rPr>
          <w:lang w:val="fr-FR"/>
        </w:rPr>
      </w:pPr>
      <w:r w:rsidRPr="00F01155">
        <w:rPr>
          <w:lang w:val="fr-FR"/>
        </w:rPr>
        <w:t xml:space="preserve">Des techniciens examineront les échantillons d’urine et de </w:t>
      </w:r>
      <w:proofErr w:type="spellStart"/>
      <w:r w:rsidRPr="00F01155">
        <w:rPr>
          <w:lang w:val="fr-FR"/>
        </w:rPr>
        <w:t>selles</w:t>
      </w:r>
      <w:proofErr w:type="spellEnd"/>
      <w:r w:rsidRPr="00F01155">
        <w:rPr>
          <w:lang w:val="fr-FR"/>
        </w:rPr>
        <w:t xml:space="preserve"> des élèves en laboratoire en utilisant des tests de diagnostic afin de détecter la présence de vers dans l’organisme</w:t>
      </w:r>
      <w:r w:rsidR="00DB0A1C" w:rsidRPr="005669CE">
        <w:rPr>
          <w:lang w:val="fr-FR"/>
        </w:rPr>
        <w:t>.</w:t>
      </w:r>
    </w:p>
    <w:p w14:paraId="04E14B9B" w14:textId="77777777" w:rsidR="000E2E95" w:rsidRPr="005669CE" w:rsidRDefault="00DB0A1C" w:rsidP="001939B3">
      <w:pPr>
        <w:pStyle w:val="ListParagraph"/>
        <w:numPr>
          <w:ilvl w:val="0"/>
          <w:numId w:val="7"/>
        </w:numPr>
        <w:tabs>
          <w:tab w:val="left" w:pos="480"/>
        </w:tabs>
        <w:ind w:left="840" w:right="305"/>
        <w:jc w:val="both"/>
      </w:pPr>
      <w:r w:rsidRPr="005669CE">
        <w:rPr>
          <w:lang w:val="fr-FR"/>
        </w:rPr>
        <w:t xml:space="preserve">Si les élèves sont infectés </w:t>
      </w:r>
      <w:proofErr w:type="gramStart"/>
      <w:r w:rsidRPr="005669CE">
        <w:rPr>
          <w:lang w:val="fr-FR"/>
        </w:rPr>
        <w:t xml:space="preserve">par </w:t>
      </w:r>
      <w:r w:rsidRPr="005669CE">
        <w:rPr>
          <w:color w:val="000000"/>
          <w:position w:val="1"/>
          <w:highlight w:val="yellow"/>
          <w:lang w:val="fr-FR"/>
        </w:rPr>
        <w:t xml:space="preserve"> «</w:t>
      </w:r>
      <w:proofErr w:type="gramEnd"/>
      <w:r w:rsidRPr="005669CE">
        <w:rPr>
          <w:color w:val="000000"/>
          <w:position w:val="1"/>
          <w:highlight w:val="yellow"/>
          <w:lang w:val="fr-FR"/>
        </w:rPr>
        <w:t> terme local pour schistosomiase</w:t>
      </w:r>
      <w:r w:rsidRPr="005669CE">
        <w:rPr>
          <w:lang w:val="fr-FR"/>
        </w:rPr>
        <w:t xml:space="preserve"> », le ministère de la Santé sera informé de la nécessité de mettre en place des activités de traitement au sein de cette communauté. À l’issue de l’enquête, les élèves se verront proposer un traitement contre cette infection dans le cadre du programme de </w:t>
      </w:r>
      <w:proofErr w:type="spellStart"/>
      <w:r w:rsidRPr="005669CE">
        <w:rPr>
          <w:lang w:val="fr-FR"/>
        </w:rPr>
        <w:t>vermifugation</w:t>
      </w:r>
      <w:proofErr w:type="spellEnd"/>
      <w:r w:rsidRPr="005669CE">
        <w:rPr>
          <w:lang w:val="fr-FR"/>
        </w:rPr>
        <w:t xml:space="preserve"> mis en place par le ministère.</w:t>
      </w:r>
    </w:p>
    <w:p w14:paraId="521E3C85" w14:textId="77777777" w:rsidR="000E2E95" w:rsidRPr="005669CE" w:rsidRDefault="00DB0A1C" w:rsidP="00CE74C2">
      <w:pPr>
        <w:pStyle w:val="Heading5"/>
        <w:spacing w:before="118"/>
        <w:jc w:val="both"/>
      </w:pPr>
      <w:r w:rsidRPr="005669CE">
        <w:rPr>
          <w:lang w:val="fr-FR"/>
        </w:rPr>
        <w:t xml:space="preserve"> Cette enquête présente-t-elle des risques ? </w:t>
      </w:r>
    </w:p>
    <w:p w14:paraId="6D049188" w14:textId="77777777" w:rsidR="000E2E95" w:rsidRPr="005669CE" w:rsidRDefault="00DB0A1C" w:rsidP="000B6BC5">
      <w:pPr>
        <w:pStyle w:val="BodyText"/>
        <w:spacing w:before="120"/>
        <w:ind w:left="102" w:right="306"/>
      </w:pPr>
      <w:r w:rsidRPr="005669CE">
        <w:rPr>
          <w:lang w:val="fr-FR"/>
        </w:rPr>
        <w:lastRenderedPageBreak/>
        <w:t>Nous ne prévoyons aucun risque physique pour la participation de vos élèves. Certains enfants peuvent être gênés par l’activité ou avoir des inquiétudes quant à leur hygiène. Pour faciliter le processus, les élèves recevront des récipients vides pour les selles et l’urine, ainsi que des instructions sur la manière de prélever les échantillons nécessaires en toute sécurité. Toutefois, si les élèves se sentent mal à l’aise avec le processus, ils sont libres de mettre fin à leur participation. À tout moment, l’élève a également le droit de ne pas répondre à une question.</w:t>
      </w:r>
    </w:p>
    <w:p w14:paraId="634FF8BA" w14:textId="77777777" w:rsidR="000E2E95" w:rsidRPr="005669CE" w:rsidRDefault="000E2E95" w:rsidP="00CE74C2">
      <w:pPr>
        <w:jc w:val="both"/>
        <w:sectPr w:rsidR="000E2E95" w:rsidRPr="005669CE" w:rsidSect="008622E9">
          <w:pgSz w:w="12240" w:h="15840"/>
          <w:pgMar w:top="1440" w:right="1077" w:bottom="1440" w:left="1077" w:header="720" w:footer="720" w:gutter="0"/>
          <w:cols w:space="720"/>
        </w:sectPr>
      </w:pPr>
    </w:p>
    <w:p w14:paraId="0E05EE2F" w14:textId="77777777" w:rsidR="000E2E95" w:rsidRPr="005669CE" w:rsidRDefault="00DB0A1C" w:rsidP="00CE74C2">
      <w:pPr>
        <w:pStyle w:val="Heading5"/>
        <w:spacing w:before="42"/>
        <w:jc w:val="both"/>
      </w:pPr>
      <w:r w:rsidRPr="005669CE">
        <w:rPr>
          <w:lang w:val="fr-FR"/>
        </w:rPr>
        <w:lastRenderedPageBreak/>
        <w:t xml:space="preserve"> Y a-t-il des avantages à participer ?</w:t>
      </w:r>
    </w:p>
    <w:p w14:paraId="148F4929" w14:textId="77777777" w:rsidR="000E2E95" w:rsidRPr="005669CE" w:rsidRDefault="00DB0A1C" w:rsidP="00341A0D">
      <w:pPr>
        <w:pStyle w:val="BodyText"/>
      </w:pPr>
      <w:r w:rsidRPr="005669CE">
        <w:rPr>
          <w:lang w:val="fr-FR"/>
        </w:rPr>
        <w:t xml:space="preserve">Votre ménage se trouve dans une communauté qui a été identifiée comme étant à risque de contracter </w:t>
      </w:r>
      <w:r w:rsidRPr="005669CE">
        <w:rPr>
          <w:highlight w:val="yellow"/>
          <w:lang w:val="fr-FR"/>
        </w:rPr>
        <w:t>« terme local pour</w:t>
      </w:r>
      <w:r w:rsidRPr="005669CE">
        <w:rPr>
          <w:lang w:val="fr-FR"/>
        </w:rPr>
        <w:t xml:space="preserve"> </w:t>
      </w:r>
      <w:r w:rsidRPr="005669CE">
        <w:rPr>
          <w:highlight w:val="yellow"/>
          <w:lang w:val="fr-FR"/>
        </w:rPr>
        <w:t>bilharziose ou schistosomiase</w:t>
      </w:r>
      <w:r w:rsidRPr="005669CE">
        <w:rPr>
          <w:lang w:val="fr-FR"/>
        </w:rPr>
        <w:t xml:space="preserve"> ». Cette étude permettra de déterminer l’efficacité des activités de traitement dans la région et les stratégies de traitement les mieux à même de réduire la présence de </w:t>
      </w:r>
      <w:r w:rsidRPr="005669CE">
        <w:rPr>
          <w:highlight w:val="yellow"/>
          <w:lang w:val="fr-FR"/>
        </w:rPr>
        <w:t>« terme local</w:t>
      </w:r>
      <w:r w:rsidRPr="005669CE">
        <w:rPr>
          <w:lang w:val="fr-FR"/>
        </w:rPr>
        <w:t xml:space="preserve"> pour bilharziose</w:t>
      </w:r>
      <w:r w:rsidRPr="005669CE">
        <w:rPr>
          <w:highlight w:val="yellow"/>
          <w:lang w:val="fr-FR"/>
        </w:rPr>
        <w:t xml:space="preserve"> ou schistosomiase</w:t>
      </w:r>
      <w:r w:rsidRPr="005669CE">
        <w:rPr>
          <w:lang w:val="fr-FR"/>
        </w:rPr>
        <w:t> » dans cette région. La réduction de la prévalence de la maladie dans la région devrait améliorer la santé des enfants à long terme.</w:t>
      </w:r>
    </w:p>
    <w:p w14:paraId="57F65354" w14:textId="77777777" w:rsidR="000E2E95" w:rsidRPr="005669CE" w:rsidRDefault="00DB0A1C" w:rsidP="00341A0D">
      <w:pPr>
        <w:pStyle w:val="BodyText"/>
      </w:pPr>
      <w:r w:rsidRPr="005669CE">
        <w:rPr>
          <w:lang w:val="fr-FR"/>
        </w:rPr>
        <w:t xml:space="preserve">En cas de diagnostic positif, un traitement sera proposé dans le cadre du programme de </w:t>
      </w:r>
      <w:proofErr w:type="spellStart"/>
      <w:r w:rsidRPr="005669CE">
        <w:rPr>
          <w:lang w:val="fr-FR"/>
        </w:rPr>
        <w:t>vermifugation</w:t>
      </w:r>
      <w:proofErr w:type="spellEnd"/>
      <w:r w:rsidRPr="005669CE">
        <w:rPr>
          <w:lang w:val="fr-FR"/>
        </w:rPr>
        <w:t xml:space="preserve"> à l’échelle du district mis en œuvre par le </w:t>
      </w:r>
      <w:r w:rsidRPr="005669CE">
        <w:rPr>
          <w:color w:val="000000"/>
          <w:highlight w:val="yellow"/>
          <w:lang w:val="fr-FR"/>
        </w:rPr>
        <w:t>&lt;ministère compétent&gt;</w:t>
      </w:r>
      <w:r w:rsidRPr="005669CE">
        <w:rPr>
          <w:lang w:val="fr-FR"/>
        </w:rPr>
        <w:t>, une fois l’enquête achevée. Le traitement peut améliorer l’état de santé général de votre enfant, notamment en réduisant les problèmes d’estomac et les douleurs urinaires, en diminuant la fatigue et la faiblesse et en améliorant l’assimilation des nutriments.</w:t>
      </w:r>
    </w:p>
    <w:p w14:paraId="1FE7A884" w14:textId="77777777" w:rsidR="000E2E95" w:rsidRPr="005669CE" w:rsidRDefault="00DB0A1C" w:rsidP="00CE74C2">
      <w:pPr>
        <w:pStyle w:val="Heading5"/>
        <w:spacing w:before="144"/>
        <w:jc w:val="both"/>
      </w:pPr>
      <w:r w:rsidRPr="005669CE">
        <w:rPr>
          <w:lang w:val="fr-FR"/>
        </w:rPr>
        <w:t>La participation de mes élèves sera-t-elle confidentielle ?</w:t>
      </w:r>
    </w:p>
    <w:p w14:paraId="1538921E" w14:textId="77777777" w:rsidR="000E2E95" w:rsidRPr="005669CE" w:rsidRDefault="00DB0A1C" w:rsidP="00341A0D">
      <w:pPr>
        <w:pStyle w:val="BodyText"/>
      </w:pPr>
      <w:r w:rsidRPr="005669CE">
        <w:rPr>
          <w:lang w:val="fr-FR"/>
        </w:rPr>
        <w:t>Toutes les informations personnelles et les résultats des diagnostics seront enregistrés sur des formulaires électroniques, qui resteront confidentiels. Seul un petit nombre de personnes de l’équipe chargée de l’enquête sera autorisé à consulter les informations concernant vos élèves, telles que leurs noms. Une fois l’enquête terminée, les noms de vos élèves seront supprimés des données, et les données restantes seront conservées dans une base de données en ligne. Personne ne pourra relier les résultats des tests à vos élèves. Les données seront mises à la disposition d’autres chercheurs dans le monde entier à des fins de recherche et d’amélioration des connaissances médicales. Cependant, les informations personnelles des élèves ne seront pas incluses et il n’y a aucun moyen de les identifier.</w:t>
      </w:r>
    </w:p>
    <w:p w14:paraId="364A4B49" w14:textId="77777777" w:rsidR="000E2E95" w:rsidRPr="005669CE" w:rsidRDefault="00DB0A1C" w:rsidP="00CE74C2">
      <w:pPr>
        <w:pStyle w:val="Heading5"/>
        <w:spacing w:before="121"/>
        <w:jc w:val="both"/>
      </w:pPr>
      <w:r w:rsidRPr="005669CE">
        <w:rPr>
          <w:lang w:val="fr-FR"/>
        </w:rPr>
        <w:t>Que se passe-t-il si je change d’avis ?</w:t>
      </w:r>
    </w:p>
    <w:p w14:paraId="5B3706CF" w14:textId="77777777" w:rsidR="000E2E95" w:rsidRPr="005669CE" w:rsidRDefault="00DB0A1C" w:rsidP="00341A0D">
      <w:pPr>
        <w:pStyle w:val="BodyText"/>
      </w:pPr>
      <w:r w:rsidRPr="005669CE">
        <w:rPr>
          <w:lang w:val="fr-FR"/>
        </w:rPr>
        <w:t>La participation de vos élèves à l’étude est volontaire. Votre refus quant à la participation de vos élèves à l’étude n’entraînera aucune conséquence particulière. Les élèves peuvent également mettre fin à leur participation à tout moment sans en donner la raison et refuser de répondre à toute question qui ne les mettrait pas à l’aise.</w:t>
      </w:r>
    </w:p>
    <w:p w14:paraId="690D247D" w14:textId="77777777" w:rsidR="000E2E95" w:rsidRPr="005669CE" w:rsidRDefault="00DB0A1C" w:rsidP="00CE74C2">
      <w:pPr>
        <w:pStyle w:val="Heading5"/>
        <w:spacing w:before="118"/>
        <w:jc w:val="both"/>
      </w:pPr>
      <w:r w:rsidRPr="005669CE">
        <w:rPr>
          <w:lang w:val="fr-FR"/>
        </w:rPr>
        <w:t>Que se passe-t-il en cas de problème ?</w:t>
      </w:r>
    </w:p>
    <w:p w14:paraId="383DC1D4" w14:textId="77777777" w:rsidR="000E2E95" w:rsidRPr="005669CE" w:rsidRDefault="00DB0A1C" w:rsidP="00341A0D">
      <w:pPr>
        <w:pStyle w:val="BodyText"/>
      </w:pPr>
      <w:r w:rsidRPr="005669CE">
        <w:rPr>
          <w:lang w:val="fr-FR"/>
        </w:rPr>
        <w:t>Si vous avez des questions ou des inquiétudes concernant les données collectées au cours de l’enquête, n’hésitez pas à interrompre le processus et à nous en parler.</w:t>
      </w:r>
    </w:p>
    <w:p w14:paraId="3441A381" w14:textId="77777777" w:rsidR="000E2E95" w:rsidRPr="005669CE" w:rsidRDefault="00DB0A1C" w:rsidP="00341A0D">
      <w:pPr>
        <w:pStyle w:val="BodyText"/>
      </w:pPr>
      <w:r w:rsidRPr="005669CE">
        <w:rPr>
          <w:lang w:val="fr-FR"/>
        </w:rPr>
        <w:t>Si, à un stade ultérieur, vous souhaitez retirer les informations relatives à vos élèves ou si vous avez des inquiétudes concernant cette enquête, vous pouvez nous contacter à tout moment en utilisant les informations figurant sur la carte fournie :</w:t>
      </w:r>
    </w:p>
    <w:p w14:paraId="552A5C43" w14:textId="77777777" w:rsidR="000E2E95" w:rsidRPr="005669CE" w:rsidRDefault="00DB0A1C" w:rsidP="00CE74C2">
      <w:pPr>
        <w:spacing w:before="119"/>
        <w:ind w:left="120"/>
        <w:jc w:val="both"/>
      </w:pPr>
      <w:r w:rsidRPr="005669CE">
        <w:rPr>
          <w:b/>
          <w:bCs/>
          <w:lang w:val="fr-FR"/>
        </w:rPr>
        <w:t>Agent en charge de la protection des données personnelles </w:t>
      </w:r>
      <w:r w:rsidRPr="005669CE">
        <w:rPr>
          <w:lang w:val="fr-FR"/>
        </w:rPr>
        <w:t xml:space="preserve">: </w:t>
      </w:r>
      <w:proofErr w:type="spellStart"/>
      <w:r w:rsidRPr="005669CE">
        <w:rPr>
          <w:color w:val="000000"/>
          <w:spacing w:val="-4"/>
          <w:highlight w:val="yellow"/>
          <w:lang w:val="fr-FR"/>
        </w:rPr>
        <w:t>xxxx</w:t>
      </w:r>
      <w:proofErr w:type="spellEnd"/>
    </w:p>
    <w:p w14:paraId="55224C5B" w14:textId="77777777" w:rsidR="000E2E95" w:rsidRPr="005669CE" w:rsidRDefault="00DB0A1C" w:rsidP="00341A0D">
      <w:pPr>
        <w:pStyle w:val="BodyText"/>
      </w:pPr>
      <w:r w:rsidRPr="005669CE">
        <w:rPr>
          <w:highlight w:val="yellow"/>
          <w:lang w:val="fr-FR"/>
        </w:rPr>
        <w:t>&lt;Tout autre membre du personnel du ministère ou du comité d’éthique de votre pays&gt;</w:t>
      </w:r>
    </w:p>
    <w:p w14:paraId="1FD82CFB" w14:textId="77777777" w:rsidR="000E2E95" w:rsidRPr="005669CE" w:rsidRDefault="000E2E95" w:rsidP="00CE74C2">
      <w:pPr>
        <w:jc w:val="both"/>
        <w:sectPr w:rsidR="000E2E95" w:rsidRPr="005669CE" w:rsidSect="008622E9">
          <w:pgSz w:w="12240" w:h="15840"/>
          <w:pgMar w:top="1440" w:right="1077" w:bottom="1440" w:left="1077" w:header="720" w:footer="720" w:gutter="0"/>
          <w:cols w:space="720"/>
        </w:sectPr>
      </w:pPr>
    </w:p>
    <w:p w14:paraId="43425E91" w14:textId="77777777" w:rsidR="000E2E95" w:rsidRPr="005669CE" w:rsidRDefault="00DB0A1C" w:rsidP="00A049B8">
      <w:pPr>
        <w:pStyle w:val="Heading2"/>
        <w:ind w:left="0"/>
        <w:jc w:val="left"/>
      </w:pPr>
      <w:bookmarkStart w:id="71" w:name="_bookmark30"/>
      <w:bookmarkStart w:id="72" w:name="_Toc181011890"/>
      <w:bookmarkEnd w:id="71"/>
      <w:r>
        <w:rPr>
          <w:lang w:val="fr-FR"/>
        </w:rPr>
        <w:lastRenderedPageBreak/>
        <w:t>Évaluations pratiques et de précision sur la schistosomiase : Formulaire de consentement - Enfants scolarisés (formulaire C.1)</w:t>
      </w:r>
      <w:bookmarkEnd w:id="72"/>
    </w:p>
    <w:p w14:paraId="6432C228" w14:textId="77777777" w:rsidR="00347DD9" w:rsidRPr="005669CE" w:rsidRDefault="00DB0A1C" w:rsidP="00347DD9">
      <w:pPr>
        <w:pStyle w:val="BodyText"/>
        <w:ind w:left="0"/>
      </w:pPr>
      <w:r w:rsidRPr="005669CE">
        <w:rPr>
          <w:lang w:val="fr-FR"/>
        </w:rPr>
        <w:t xml:space="preserve">Lieu : </w:t>
      </w:r>
      <w:r w:rsidRPr="005669CE">
        <w:rPr>
          <w:u w:val="single"/>
          <w:lang w:val="fr-FR"/>
        </w:rPr>
        <w:tab/>
        <w:t>___________</w:t>
      </w:r>
      <w:r w:rsidRPr="005669CE">
        <w:rPr>
          <w:lang w:val="fr-FR"/>
        </w:rPr>
        <w:t xml:space="preserve">Date : </w:t>
      </w:r>
      <w:r w:rsidRPr="005669CE">
        <w:rPr>
          <w:u w:val="single"/>
          <w:lang w:val="fr-FR"/>
        </w:rPr>
        <w:tab/>
        <w:t>_________</w:t>
      </w:r>
    </w:p>
    <w:p w14:paraId="0A4F5E70" w14:textId="77777777" w:rsidR="000E2E95" w:rsidRPr="005669CE" w:rsidRDefault="00DB0A1C" w:rsidP="00347DD9">
      <w:pPr>
        <w:pStyle w:val="BodyText"/>
        <w:ind w:left="0"/>
      </w:pPr>
      <w:r w:rsidRPr="005669CE">
        <w:rPr>
          <w:lang w:val="fr-FR"/>
        </w:rPr>
        <w:t>Nous travaillons pour le ministère de la Santé de &lt;nom du pays&gt;. Nous menons actuellement une étude pour savoir combien d’enfants de ton école sont touchés par [</w:t>
      </w:r>
      <w:r w:rsidRPr="005669CE">
        <w:rPr>
          <w:color w:val="000000"/>
          <w:highlight w:val="yellow"/>
          <w:lang w:val="fr-FR"/>
        </w:rPr>
        <w:t>terme local pour bilharziose</w:t>
      </w:r>
      <w:r w:rsidRPr="005669CE">
        <w:rPr>
          <w:lang w:val="fr-FR"/>
        </w:rPr>
        <w:t>] et d’autres [</w:t>
      </w:r>
      <w:r w:rsidRPr="005669CE">
        <w:rPr>
          <w:color w:val="000000"/>
          <w:highlight w:val="yellow"/>
          <w:lang w:val="fr-FR"/>
        </w:rPr>
        <w:t xml:space="preserve">terme local pour vers </w:t>
      </w:r>
      <w:proofErr w:type="gramStart"/>
      <w:r w:rsidRPr="005669CE">
        <w:rPr>
          <w:color w:val="000000"/>
          <w:highlight w:val="yellow"/>
          <w:lang w:val="fr-FR"/>
        </w:rPr>
        <w:t>intestinaux</w:t>
      </w:r>
      <w:r w:rsidRPr="005669CE">
        <w:rPr>
          <w:lang w:val="fr-FR"/>
        </w:rPr>
        <w:t xml:space="preserve"> ]</w:t>
      </w:r>
      <w:proofErr w:type="gramEnd"/>
      <w:r w:rsidRPr="005669CE">
        <w:rPr>
          <w:lang w:val="fr-FR"/>
        </w:rPr>
        <w:t xml:space="preserve">. Cela nous aidera à décider de la meilleure façon d’empêcher les enfants d’être affectés par </w:t>
      </w:r>
      <w:proofErr w:type="gramStart"/>
      <w:r w:rsidRPr="005669CE">
        <w:rPr>
          <w:lang w:val="fr-FR"/>
        </w:rPr>
        <w:t>[</w:t>
      </w:r>
      <w:r w:rsidRPr="005669CE">
        <w:rPr>
          <w:color w:val="000000"/>
          <w:highlight w:val="yellow"/>
          <w:lang w:val="fr-FR"/>
        </w:rPr>
        <w:t xml:space="preserve"> terme</w:t>
      </w:r>
      <w:proofErr w:type="gramEnd"/>
      <w:r w:rsidRPr="005669CE">
        <w:rPr>
          <w:color w:val="000000"/>
          <w:highlight w:val="yellow"/>
          <w:lang w:val="fr-FR"/>
        </w:rPr>
        <w:t xml:space="preserve"> local pour</w:t>
      </w:r>
      <w:r w:rsidRPr="005669CE">
        <w:rPr>
          <w:lang w:val="fr-FR"/>
        </w:rPr>
        <w:t xml:space="preserve"> </w:t>
      </w:r>
      <w:r w:rsidRPr="005669CE">
        <w:rPr>
          <w:color w:val="000000"/>
          <w:highlight w:val="yellow"/>
          <w:lang w:val="fr-FR"/>
        </w:rPr>
        <w:t>bilharziose</w:t>
      </w:r>
      <w:r w:rsidRPr="005669CE">
        <w:rPr>
          <w:lang w:val="fr-FR"/>
        </w:rPr>
        <w:t>] au sein de ta communauté.</w:t>
      </w:r>
    </w:p>
    <w:p w14:paraId="21E6A35D" w14:textId="77777777" w:rsidR="000E2E95" w:rsidRPr="005669CE" w:rsidRDefault="00DB0A1C" w:rsidP="00347DD9">
      <w:pPr>
        <w:pStyle w:val="BodyText"/>
        <w:ind w:left="0"/>
      </w:pPr>
      <w:r w:rsidRPr="005669CE">
        <w:rPr>
          <w:lang w:val="fr-FR"/>
        </w:rPr>
        <w:t>Nous invitons 32 enfants de ton école à participer à cette enquête, et tu as été sélectionné(e) de manière aléatoire. Tu as le droit de refuser de participer. Si tu acceptes de participer, nous te poserons quelques questions très brèves sur ton lieu de vie et sur les activités que tu as pratiquées au cours de la semaine écoulée. Nous te demanderons également de nous fournir un échantillon de selles et un échantillon d’urine, que nous examinerons pour vérifier si tu présentes des infections par des vers.</w:t>
      </w:r>
    </w:p>
    <w:p w14:paraId="2815F4DD" w14:textId="77777777" w:rsidR="000E2E95" w:rsidRPr="005669CE" w:rsidRDefault="00DB0A1C" w:rsidP="00347DD9">
      <w:pPr>
        <w:pStyle w:val="BodyText"/>
        <w:ind w:left="0"/>
      </w:pPr>
      <w:r w:rsidRPr="005669CE">
        <w:rPr>
          <w:lang w:val="fr-FR"/>
        </w:rPr>
        <w:t>Nous comprenons que tu puisses trouver cela un peu embarrassant ; nous te donnerons tout le matériel nécessaire pour le faire et nous t’expliquerons comment prélever l’échantillon. Si nous constatons que tu as une infection, nous te proposerons un traitement à l’école. Les informations que nous recueillons à ton sujet peuvent être communiquées à d’autres personnes, mais ton nom ne sera pas utilisé et restera secret. Tu ne recevras rien en échange de ta participation à cette étude.</w:t>
      </w:r>
    </w:p>
    <w:p w14:paraId="6D5F8019" w14:textId="77777777" w:rsidR="000E2E95" w:rsidRPr="005669CE" w:rsidRDefault="00DB0A1C" w:rsidP="00347DD9">
      <w:pPr>
        <w:pStyle w:val="BodyText"/>
        <w:ind w:left="0"/>
      </w:pPr>
      <w:r w:rsidRPr="005669CE">
        <w:rPr>
          <w:lang w:val="fr-FR"/>
        </w:rPr>
        <w:t xml:space="preserve">Si tu décides de participer, puis que tu changes d’avis ou que tu ne veux pas continuer, ce n’est pas grave. Nous avons également demandé à tes parents qu’ils consentent à ta participation, et nous ne t’en parlons que parce qu’ils ont donné leur accord. Même si tes parents ont dit « oui », tu peux toujours décider de ne pas participer. Tu peux me poser des questions sur l’étude. Tu peux nous appeler à tout moment au numéro de téléphone suivant : </w:t>
      </w:r>
      <w:r w:rsidR="00C0448E" w:rsidRPr="005669CE">
        <w:rPr>
          <w:color w:val="000000"/>
          <w:highlight w:val="yellow"/>
          <w:lang w:val="fr-FR"/>
        </w:rPr>
        <w:t>XXXXX</w:t>
      </w:r>
      <w:r w:rsidRPr="005669CE">
        <w:rPr>
          <w:lang w:val="fr-FR"/>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451"/>
        <w:gridCol w:w="817"/>
        <w:gridCol w:w="813"/>
      </w:tblGrid>
      <w:tr w:rsidR="000C10E3" w14:paraId="483900D1" w14:textId="77777777" w:rsidTr="00226A69">
        <w:trPr>
          <w:trHeight w:val="330"/>
        </w:trPr>
        <w:tc>
          <w:tcPr>
            <w:tcW w:w="4192" w:type="pct"/>
            <w:tcBorders>
              <w:top w:val="nil"/>
              <w:left w:val="nil"/>
            </w:tcBorders>
          </w:tcPr>
          <w:p w14:paraId="03C239AB" w14:textId="77777777" w:rsidR="000E2E95" w:rsidRPr="005669CE" w:rsidRDefault="000E2E95" w:rsidP="00CE74C2">
            <w:pPr>
              <w:pStyle w:val="TableParagraph"/>
              <w:jc w:val="both"/>
              <w:rPr>
                <w:rFonts w:ascii="Times New Roman"/>
              </w:rPr>
            </w:pPr>
          </w:p>
        </w:tc>
        <w:tc>
          <w:tcPr>
            <w:tcW w:w="405" w:type="pct"/>
          </w:tcPr>
          <w:p w14:paraId="4D2B0EE4" w14:textId="77777777" w:rsidR="000E2E95" w:rsidRPr="005669CE" w:rsidRDefault="00DB0A1C" w:rsidP="00CE74C2">
            <w:pPr>
              <w:pStyle w:val="TableParagraph"/>
              <w:spacing w:line="268" w:lineRule="exact"/>
              <w:ind w:left="158"/>
              <w:jc w:val="both"/>
            </w:pPr>
            <w:proofErr w:type="gramStart"/>
            <w:r w:rsidRPr="005669CE">
              <w:rPr>
                <w:lang w:val="fr-FR"/>
              </w:rPr>
              <w:t>oui</w:t>
            </w:r>
            <w:proofErr w:type="gramEnd"/>
          </w:p>
        </w:tc>
        <w:tc>
          <w:tcPr>
            <w:tcW w:w="403" w:type="pct"/>
          </w:tcPr>
          <w:p w14:paraId="07E71C65" w14:textId="77777777" w:rsidR="000E2E95" w:rsidRPr="005669CE" w:rsidRDefault="00DB0A1C" w:rsidP="00CE74C2">
            <w:pPr>
              <w:pStyle w:val="TableParagraph"/>
              <w:spacing w:line="268" w:lineRule="exact"/>
              <w:ind w:left="108"/>
              <w:jc w:val="both"/>
            </w:pPr>
            <w:proofErr w:type="gramStart"/>
            <w:r w:rsidRPr="005669CE">
              <w:rPr>
                <w:lang w:val="fr-FR"/>
              </w:rPr>
              <w:t>non</w:t>
            </w:r>
            <w:proofErr w:type="gramEnd"/>
          </w:p>
        </w:tc>
      </w:tr>
      <w:tr w:rsidR="000C10E3" w14:paraId="724F3C29" w14:textId="77777777" w:rsidTr="00226A69">
        <w:trPr>
          <w:trHeight w:val="455"/>
        </w:trPr>
        <w:tc>
          <w:tcPr>
            <w:tcW w:w="4192" w:type="pct"/>
          </w:tcPr>
          <w:p w14:paraId="4DE13F9F" w14:textId="77777777" w:rsidR="000E2E95" w:rsidRPr="005669CE" w:rsidRDefault="00DB0A1C" w:rsidP="00CE74C2">
            <w:pPr>
              <w:pStyle w:val="TableParagraph"/>
              <w:spacing w:line="268" w:lineRule="exact"/>
              <w:ind w:left="107"/>
              <w:jc w:val="both"/>
            </w:pPr>
            <w:r w:rsidRPr="005669CE">
              <w:rPr>
                <w:lang w:val="fr-FR"/>
              </w:rPr>
              <w:t xml:space="preserve">Comprends-tu pourquoi nous </w:t>
            </w:r>
            <w:proofErr w:type="gramStart"/>
            <w:r w:rsidRPr="005669CE">
              <w:rPr>
                <w:lang w:val="fr-FR"/>
              </w:rPr>
              <w:t>faisons</w:t>
            </w:r>
            <w:proofErr w:type="gramEnd"/>
            <w:r w:rsidRPr="005669CE">
              <w:rPr>
                <w:lang w:val="fr-FR"/>
              </w:rPr>
              <w:t xml:space="preserve"> cette recherche ?</w:t>
            </w:r>
          </w:p>
        </w:tc>
        <w:tc>
          <w:tcPr>
            <w:tcW w:w="405" w:type="pct"/>
          </w:tcPr>
          <w:p w14:paraId="55528D9A" w14:textId="77777777" w:rsidR="000E2E95" w:rsidRPr="005669CE" w:rsidRDefault="000E2E95" w:rsidP="00CE74C2">
            <w:pPr>
              <w:pStyle w:val="TableParagraph"/>
              <w:jc w:val="both"/>
              <w:rPr>
                <w:rFonts w:ascii="Times New Roman"/>
              </w:rPr>
            </w:pPr>
          </w:p>
        </w:tc>
        <w:tc>
          <w:tcPr>
            <w:tcW w:w="403" w:type="pct"/>
          </w:tcPr>
          <w:p w14:paraId="5B0F3ACA" w14:textId="77777777" w:rsidR="000E2E95" w:rsidRPr="005669CE" w:rsidRDefault="000E2E95" w:rsidP="00CE74C2">
            <w:pPr>
              <w:pStyle w:val="TableParagraph"/>
              <w:jc w:val="both"/>
              <w:rPr>
                <w:rFonts w:ascii="Times New Roman"/>
              </w:rPr>
            </w:pPr>
          </w:p>
        </w:tc>
      </w:tr>
      <w:tr w:rsidR="000C10E3" w14:paraId="3324411C" w14:textId="77777777" w:rsidTr="00226A69">
        <w:trPr>
          <w:trHeight w:val="453"/>
        </w:trPr>
        <w:tc>
          <w:tcPr>
            <w:tcW w:w="4192" w:type="pct"/>
          </w:tcPr>
          <w:p w14:paraId="64C3D67F" w14:textId="77777777" w:rsidR="000E2E95" w:rsidRPr="005669CE" w:rsidRDefault="00DB0A1C" w:rsidP="00CE74C2">
            <w:pPr>
              <w:pStyle w:val="TableParagraph"/>
              <w:spacing w:line="268" w:lineRule="exact"/>
              <w:ind w:left="107"/>
              <w:jc w:val="both"/>
            </w:pPr>
            <w:r w:rsidRPr="005669CE">
              <w:rPr>
                <w:lang w:val="fr-FR"/>
              </w:rPr>
              <w:t>Acceptes-tu de me parler ?</w:t>
            </w:r>
          </w:p>
        </w:tc>
        <w:tc>
          <w:tcPr>
            <w:tcW w:w="405" w:type="pct"/>
          </w:tcPr>
          <w:p w14:paraId="4808ABAA" w14:textId="77777777" w:rsidR="000E2E95" w:rsidRPr="005669CE" w:rsidRDefault="000E2E95" w:rsidP="00CE74C2">
            <w:pPr>
              <w:pStyle w:val="TableParagraph"/>
              <w:jc w:val="both"/>
              <w:rPr>
                <w:rFonts w:ascii="Times New Roman"/>
              </w:rPr>
            </w:pPr>
          </w:p>
        </w:tc>
        <w:tc>
          <w:tcPr>
            <w:tcW w:w="403" w:type="pct"/>
          </w:tcPr>
          <w:p w14:paraId="0FAE7752" w14:textId="77777777" w:rsidR="000E2E95" w:rsidRPr="005669CE" w:rsidRDefault="000E2E95" w:rsidP="00CE74C2">
            <w:pPr>
              <w:pStyle w:val="TableParagraph"/>
              <w:jc w:val="both"/>
              <w:rPr>
                <w:rFonts w:ascii="Times New Roman"/>
              </w:rPr>
            </w:pPr>
          </w:p>
        </w:tc>
      </w:tr>
      <w:tr w:rsidR="000C10E3" w14:paraId="3090D2EB" w14:textId="77777777" w:rsidTr="00226A69">
        <w:trPr>
          <w:trHeight w:val="537"/>
        </w:trPr>
        <w:tc>
          <w:tcPr>
            <w:tcW w:w="4192" w:type="pct"/>
          </w:tcPr>
          <w:p w14:paraId="10E28B1E" w14:textId="77777777" w:rsidR="000E2E95" w:rsidRPr="005669CE" w:rsidRDefault="00DB0A1C" w:rsidP="00CE74C2">
            <w:pPr>
              <w:pStyle w:val="TableParagraph"/>
              <w:spacing w:line="268" w:lineRule="exact"/>
              <w:ind w:left="107"/>
              <w:jc w:val="both"/>
            </w:pPr>
            <w:r w:rsidRPr="005669CE">
              <w:rPr>
                <w:lang w:val="fr-FR"/>
              </w:rPr>
              <w:t>Comprends-tu que tu peux interrompre cette discussion à tout moment ? Et que tu n’es pas obligé(e) de répondre</w:t>
            </w:r>
          </w:p>
          <w:p w14:paraId="5DFFBD5C" w14:textId="77777777" w:rsidR="000E2E95" w:rsidRPr="005669CE" w:rsidRDefault="00DB0A1C" w:rsidP="00CE74C2">
            <w:pPr>
              <w:pStyle w:val="TableParagraph"/>
              <w:spacing w:before="1" w:line="249" w:lineRule="exact"/>
              <w:ind w:left="107"/>
              <w:jc w:val="both"/>
            </w:pPr>
            <w:proofErr w:type="gramStart"/>
            <w:r w:rsidRPr="005669CE">
              <w:rPr>
                <w:lang w:val="fr-FR"/>
              </w:rPr>
              <w:t>à</w:t>
            </w:r>
            <w:proofErr w:type="gramEnd"/>
            <w:r w:rsidRPr="005669CE">
              <w:rPr>
                <w:lang w:val="fr-FR"/>
              </w:rPr>
              <w:t xml:space="preserve"> des questions auxquelles tu ne souhaites pas répondre ?</w:t>
            </w:r>
          </w:p>
        </w:tc>
        <w:tc>
          <w:tcPr>
            <w:tcW w:w="405" w:type="pct"/>
          </w:tcPr>
          <w:p w14:paraId="37106CDB" w14:textId="77777777" w:rsidR="000E2E95" w:rsidRPr="005669CE" w:rsidRDefault="000E2E95" w:rsidP="00CE74C2">
            <w:pPr>
              <w:pStyle w:val="TableParagraph"/>
              <w:jc w:val="both"/>
              <w:rPr>
                <w:rFonts w:ascii="Times New Roman"/>
              </w:rPr>
            </w:pPr>
          </w:p>
        </w:tc>
        <w:tc>
          <w:tcPr>
            <w:tcW w:w="403" w:type="pct"/>
          </w:tcPr>
          <w:p w14:paraId="0C2CDFC2" w14:textId="77777777" w:rsidR="000E2E95" w:rsidRPr="005669CE" w:rsidRDefault="000E2E95" w:rsidP="00CE74C2">
            <w:pPr>
              <w:pStyle w:val="TableParagraph"/>
              <w:jc w:val="both"/>
              <w:rPr>
                <w:rFonts w:ascii="Times New Roman"/>
              </w:rPr>
            </w:pPr>
          </w:p>
        </w:tc>
      </w:tr>
      <w:tr w:rsidR="000C10E3" w14:paraId="71726DFA" w14:textId="77777777" w:rsidTr="00226A69">
        <w:trPr>
          <w:trHeight w:val="453"/>
        </w:trPr>
        <w:tc>
          <w:tcPr>
            <w:tcW w:w="4192" w:type="pct"/>
          </w:tcPr>
          <w:p w14:paraId="3EF8591D" w14:textId="77777777" w:rsidR="000E2E95" w:rsidRPr="005669CE" w:rsidRDefault="00DB0A1C" w:rsidP="00CE74C2">
            <w:pPr>
              <w:pStyle w:val="TableParagraph"/>
              <w:spacing w:line="268" w:lineRule="exact"/>
              <w:ind w:left="107"/>
              <w:jc w:val="both"/>
            </w:pPr>
            <w:r w:rsidRPr="005669CE">
              <w:rPr>
                <w:lang w:val="fr-FR"/>
              </w:rPr>
              <w:t>Acceptes-tu de nous fournir un échantillon d’urine et un échantillon de selles ?</w:t>
            </w:r>
          </w:p>
        </w:tc>
        <w:tc>
          <w:tcPr>
            <w:tcW w:w="405" w:type="pct"/>
          </w:tcPr>
          <w:p w14:paraId="587F7BE9" w14:textId="77777777" w:rsidR="000E2E95" w:rsidRPr="005669CE" w:rsidRDefault="000E2E95" w:rsidP="00CE74C2">
            <w:pPr>
              <w:pStyle w:val="TableParagraph"/>
              <w:jc w:val="both"/>
              <w:rPr>
                <w:rFonts w:ascii="Times New Roman"/>
              </w:rPr>
            </w:pPr>
          </w:p>
        </w:tc>
        <w:tc>
          <w:tcPr>
            <w:tcW w:w="403" w:type="pct"/>
          </w:tcPr>
          <w:p w14:paraId="2DC17356" w14:textId="77777777" w:rsidR="000E2E95" w:rsidRPr="005669CE" w:rsidRDefault="000E2E95" w:rsidP="00CE74C2">
            <w:pPr>
              <w:pStyle w:val="TableParagraph"/>
              <w:jc w:val="both"/>
              <w:rPr>
                <w:rFonts w:ascii="Times New Roman"/>
              </w:rPr>
            </w:pPr>
          </w:p>
        </w:tc>
      </w:tr>
      <w:tr w:rsidR="000C10E3" w14:paraId="2204D2E2" w14:textId="77777777" w:rsidTr="00226A69">
        <w:trPr>
          <w:trHeight w:val="455"/>
        </w:trPr>
        <w:tc>
          <w:tcPr>
            <w:tcW w:w="4192" w:type="pct"/>
          </w:tcPr>
          <w:p w14:paraId="4DF1F174" w14:textId="77777777" w:rsidR="000E2E95" w:rsidRPr="005669CE" w:rsidRDefault="00DB0A1C" w:rsidP="00CE74C2">
            <w:pPr>
              <w:pStyle w:val="TableParagraph"/>
              <w:spacing w:line="268" w:lineRule="exact"/>
              <w:ind w:left="107"/>
              <w:jc w:val="both"/>
            </w:pPr>
            <w:r w:rsidRPr="005669CE">
              <w:rPr>
                <w:lang w:val="fr-FR"/>
              </w:rPr>
              <w:t>Es-tu d’accord pour que les informations que tu me donnes puissent être partagées avec d’autres personnes ?</w:t>
            </w:r>
          </w:p>
        </w:tc>
        <w:tc>
          <w:tcPr>
            <w:tcW w:w="405" w:type="pct"/>
          </w:tcPr>
          <w:p w14:paraId="55C8BCB1" w14:textId="77777777" w:rsidR="000E2E95" w:rsidRPr="005669CE" w:rsidRDefault="000E2E95" w:rsidP="00CE74C2">
            <w:pPr>
              <w:pStyle w:val="TableParagraph"/>
              <w:jc w:val="both"/>
              <w:rPr>
                <w:rFonts w:ascii="Times New Roman"/>
              </w:rPr>
            </w:pPr>
          </w:p>
        </w:tc>
        <w:tc>
          <w:tcPr>
            <w:tcW w:w="403" w:type="pct"/>
          </w:tcPr>
          <w:p w14:paraId="10FBAC11" w14:textId="77777777" w:rsidR="000E2E95" w:rsidRPr="005669CE" w:rsidRDefault="000E2E95" w:rsidP="00CE74C2">
            <w:pPr>
              <w:pStyle w:val="TableParagraph"/>
              <w:jc w:val="both"/>
              <w:rPr>
                <w:rFonts w:ascii="Times New Roman"/>
              </w:rPr>
            </w:pPr>
          </w:p>
        </w:tc>
      </w:tr>
    </w:tbl>
    <w:p w14:paraId="2E1ADF40" w14:textId="77777777" w:rsidR="000E2E95" w:rsidRPr="005669CE" w:rsidRDefault="000E2E95" w:rsidP="00341A0D">
      <w:pPr>
        <w:pStyle w:val="BodyText"/>
      </w:pPr>
    </w:p>
    <w:tbl>
      <w:tblPr>
        <w:tblStyle w:val="TableGrid"/>
        <w:tblW w:w="0" w:type="auto"/>
        <w:tblInd w:w="10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06"/>
        <w:gridCol w:w="4111"/>
        <w:gridCol w:w="1859"/>
      </w:tblGrid>
      <w:tr w:rsidR="000C10E3" w14:paraId="73E3579B" w14:textId="77777777" w:rsidTr="0072241F">
        <w:tc>
          <w:tcPr>
            <w:tcW w:w="4006" w:type="dxa"/>
            <w:tcBorders>
              <w:top w:val="nil"/>
              <w:bottom w:val="single" w:sz="4" w:space="0" w:color="auto"/>
              <w:right w:val="nil"/>
            </w:tcBorders>
          </w:tcPr>
          <w:p w14:paraId="57F36819" w14:textId="77777777" w:rsidR="009C66B5" w:rsidRPr="005669CE" w:rsidRDefault="009C66B5" w:rsidP="00341A0D">
            <w:pPr>
              <w:pStyle w:val="BodyText"/>
              <w:ind w:left="0"/>
            </w:pPr>
          </w:p>
        </w:tc>
        <w:tc>
          <w:tcPr>
            <w:tcW w:w="4111" w:type="dxa"/>
            <w:tcBorders>
              <w:top w:val="nil"/>
              <w:left w:val="nil"/>
              <w:bottom w:val="single" w:sz="4" w:space="0" w:color="auto"/>
              <w:right w:val="nil"/>
            </w:tcBorders>
          </w:tcPr>
          <w:p w14:paraId="2FED7CB9" w14:textId="77777777" w:rsidR="009C66B5" w:rsidRPr="005669CE" w:rsidRDefault="009C66B5" w:rsidP="00341A0D">
            <w:pPr>
              <w:pStyle w:val="BodyText"/>
              <w:ind w:left="0"/>
            </w:pPr>
          </w:p>
        </w:tc>
        <w:tc>
          <w:tcPr>
            <w:tcW w:w="1859" w:type="dxa"/>
            <w:tcBorders>
              <w:left w:val="nil"/>
            </w:tcBorders>
          </w:tcPr>
          <w:p w14:paraId="44D67F6D" w14:textId="77777777" w:rsidR="009C66B5" w:rsidRPr="005669CE" w:rsidRDefault="009C66B5" w:rsidP="00341A0D">
            <w:pPr>
              <w:pStyle w:val="BodyText"/>
              <w:ind w:left="0"/>
            </w:pPr>
          </w:p>
        </w:tc>
      </w:tr>
      <w:tr w:rsidR="000C10E3" w14:paraId="70B9025B" w14:textId="77777777" w:rsidTr="0072241F">
        <w:tc>
          <w:tcPr>
            <w:tcW w:w="4006" w:type="dxa"/>
            <w:tcBorders>
              <w:top w:val="single" w:sz="4" w:space="0" w:color="auto"/>
              <w:bottom w:val="nil"/>
              <w:right w:val="nil"/>
            </w:tcBorders>
          </w:tcPr>
          <w:p w14:paraId="73A4BB6F" w14:textId="77777777" w:rsidR="009C66B5" w:rsidRPr="005669CE" w:rsidRDefault="00DB0A1C" w:rsidP="0072241F">
            <w:pPr>
              <w:pStyle w:val="BodyText"/>
              <w:spacing w:before="0"/>
              <w:ind w:left="0" w:right="306"/>
              <w:jc w:val="left"/>
            </w:pPr>
            <w:r w:rsidRPr="005669CE">
              <w:rPr>
                <w:lang w:val="fr-FR"/>
              </w:rPr>
              <w:t>Nom de l’enfant en caractères d’imprimerie</w:t>
            </w:r>
          </w:p>
        </w:tc>
        <w:tc>
          <w:tcPr>
            <w:tcW w:w="4111" w:type="dxa"/>
            <w:tcBorders>
              <w:top w:val="single" w:sz="4" w:space="0" w:color="auto"/>
              <w:left w:val="nil"/>
              <w:bottom w:val="nil"/>
              <w:right w:val="nil"/>
            </w:tcBorders>
          </w:tcPr>
          <w:p w14:paraId="11B78158" w14:textId="77777777" w:rsidR="009C66B5" w:rsidRPr="005669CE" w:rsidRDefault="00DB0A1C" w:rsidP="0072241F">
            <w:pPr>
              <w:pStyle w:val="BodyText"/>
              <w:spacing w:before="0"/>
              <w:ind w:left="0" w:right="306"/>
              <w:jc w:val="left"/>
            </w:pPr>
            <w:r w:rsidRPr="005669CE">
              <w:rPr>
                <w:lang w:val="fr-FR"/>
              </w:rPr>
              <w:t xml:space="preserve">Signature/Marque du participant   </w:t>
            </w:r>
          </w:p>
        </w:tc>
        <w:tc>
          <w:tcPr>
            <w:tcW w:w="1859" w:type="dxa"/>
            <w:tcBorders>
              <w:left w:val="nil"/>
            </w:tcBorders>
          </w:tcPr>
          <w:p w14:paraId="47E9D5B9" w14:textId="77777777" w:rsidR="009C66B5" w:rsidRPr="005669CE" w:rsidRDefault="00DB0A1C" w:rsidP="0072241F">
            <w:pPr>
              <w:pStyle w:val="BodyText"/>
              <w:spacing w:before="0"/>
              <w:ind w:left="0" w:right="306"/>
              <w:jc w:val="left"/>
            </w:pPr>
            <w:r w:rsidRPr="005669CE">
              <w:rPr>
                <w:lang w:val="fr-FR"/>
              </w:rPr>
              <w:t>Date</w:t>
            </w:r>
          </w:p>
        </w:tc>
      </w:tr>
    </w:tbl>
    <w:p w14:paraId="049C4955" w14:textId="77777777" w:rsidR="000E2E95" w:rsidRPr="005669CE" w:rsidRDefault="00DB0A1C" w:rsidP="0072241F">
      <w:pPr>
        <w:pStyle w:val="BodyText"/>
      </w:pPr>
      <w:r w:rsidRPr="005669CE">
        <w:rPr>
          <w:spacing w:val="76"/>
          <w:w w:val="150"/>
          <w:lang w:val="fr-FR"/>
        </w:rPr>
        <w:tab/>
      </w:r>
    </w:p>
    <w:p w14:paraId="7AB6077C" w14:textId="77777777" w:rsidR="000E2E95" w:rsidRPr="005669CE" w:rsidRDefault="00DB0A1C" w:rsidP="00226A69">
      <w:pPr>
        <w:ind w:left="120" w:right="305"/>
        <w:jc w:val="both"/>
      </w:pPr>
      <w:r w:rsidRPr="005669CE">
        <w:rPr>
          <w:b/>
          <w:bCs/>
          <w:lang w:val="fr-FR"/>
        </w:rPr>
        <w:t xml:space="preserve">Si l’enfant ne peut pas lire le formulaire lui-même, un témoin doit signer ici : </w:t>
      </w:r>
      <w:r w:rsidRPr="005669CE">
        <w:rPr>
          <w:lang w:val="fr-FR"/>
        </w:rPr>
        <w:t xml:space="preserve">J’étais présent lorsque les avantages, les risques et les procédures ont été présentés à l’enfant. Celui-ci a été répondu à toutes les </w:t>
      </w:r>
      <w:r w:rsidRPr="005669CE">
        <w:rPr>
          <w:lang w:val="fr-FR"/>
        </w:rPr>
        <w:lastRenderedPageBreak/>
        <w:t>questions et a accepté de participer à l’enquête.</w:t>
      </w:r>
    </w:p>
    <w:p w14:paraId="344A166F" w14:textId="77777777" w:rsidR="00F74F47" w:rsidRPr="005669CE" w:rsidRDefault="00F74F47" w:rsidP="00CE74C2">
      <w:pPr>
        <w:jc w:val="both"/>
      </w:pPr>
    </w:p>
    <w:p w14:paraId="194B79DE" w14:textId="77777777" w:rsidR="00F74F47" w:rsidRPr="005669CE" w:rsidRDefault="00F74F47" w:rsidP="00CE74C2">
      <w:pPr>
        <w:jc w:val="both"/>
      </w:pPr>
    </w:p>
    <w:tbl>
      <w:tblPr>
        <w:tblStyle w:val="TableGrid"/>
        <w:tblW w:w="0" w:type="auto"/>
        <w:tblInd w:w="10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06"/>
        <w:gridCol w:w="4111"/>
        <w:gridCol w:w="1859"/>
      </w:tblGrid>
      <w:tr w:rsidR="000C10E3" w14:paraId="54D97361" w14:textId="77777777" w:rsidTr="00CF7F9D">
        <w:tc>
          <w:tcPr>
            <w:tcW w:w="4006" w:type="dxa"/>
            <w:tcBorders>
              <w:top w:val="nil"/>
              <w:bottom w:val="single" w:sz="4" w:space="0" w:color="auto"/>
              <w:right w:val="nil"/>
            </w:tcBorders>
          </w:tcPr>
          <w:p w14:paraId="7F8EEF72" w14:textId="77777777" w:rsidR="007E4A20" w:rsidRPr="005669CE" w:rsidRDefault="007E4A20" w:rsidP="00CF7F9D">
            <w:pPr>
              <w:pStyle w:val="BodyText"/>
              <w:ind w:left="0"/>
            </w:pPr>
          </w:p>
        </w:tc>
        <w:tc>
          <w:tcPr>
            <w:tcW w:w="4111" w:type="dxa"/>
            <w:tcBorders>
              <w:top w:val="nil"/>
              <w:left w:val="nil"/>
              <w:bottom w:val="single" w:sz="4" w:space="0" w:color="auto"/>
              <w:right w:val="nil"/>
            </w:tcBorders>
          </w:tcPr>
          <w:p w14:paraId="2984D24A" w14:textId="77777777" w:rsidR="007E4A20" w:rsidRPr="005669CE" w:rsidRDefault="007E4A20" w:rsidP="00CF7F9D">
            <w:pPr>
              <w:pStyle w:val="BodyText"/>
              <w:ind w:left="0"/>
            </w:pPr>
          </w:p>
        </w:tc>
        <w:tc>
          <w:tcPr>
            <w:tcW w:w="1859" w:type="dxa"/>
            <w:tcBorders>
              <w:left w:val="nil"/>
            </w:tcBorders>
          </w:tcPr>
          <w:p w14:paraId="67842DAF" w14:textId="77777777" w:rsidR="007E4A20" w:rsidRPr="005669CE" w:rsidRDefault="007E4A20" w:rsidP="00CF7F9D">
            <w:pPr>
              <w:pStyle w:val="BodyText"/>
              <w:ind w:left="0"/>
            </w:pPr>
          </w:p>
        </w:tc>
      </w:tr>
      <w:tr w:rsidR="000C10E3" w14:paraId="7B22B4A0" w14:textId="77777777" w:rsidTr="00CF7F9D">
        <w:tc>
          <w:tcPr>
            <w:tcW w:w="4006" w:type="dxa"/>
            <w:tcBorders>
              <w:top w:val="single" w:sz="4" w:space="0" w:color="auto"/>
              <w:bottom w:val="nil"/>
              <w:right w:val="nil"/>
            </w:tcBorders>
          </w:tcPr>
          <w:p w14:paraId="352C4427" w14:textId="77777777" w:rsidR="007E4A20" w:rsidRPr="005669CE" w:rsidRDefault="00DB0A1C" w:rsidP="00CF7F9D">
            <w:pPr>
              <w:pStyle w:val="BodyText"/>
              <w:spacing w:before="0"/>
              <w:ind w:left="0" w:right="306"/>
              <w:jc w:val="left"/>
            </w:pPr>
            <w:r w:rsidRPr="005669CE">
              <w:rPr>
                <w:lang w:val="fr-FR"/>
              </w:rPr>
              <w:t>Nom du témoin en caractères d’imprimerie</w:t>
            </w:r>
          </w:p>
        </w:tc>
        <w:tc>
          <w:tcPr>
            <w:tcW w:w="4111" w:type="dxa"/>
            <w:tcBorders>
              <w:top w:val="single" w:sz="4" w:space="0" w:color="auto"/>
              <w:left w:val="nil"/>
              <w:bottom w:val="nil"/>
              <w:right w:val="nil"/>
            </w:tcBorders>
          </w:tcPr>
          <w:p w14:paraId="7E3F65EE" w14:textId="77777777" w:rsidR="007E4A20" w:rsidRPr="005669CE" w:rsidRDefault="00DB0A1C" w:rsidP="00CF7F9D">
            <w:pPr>
              <w:pStyle w:val="BodyText"/>
              <w:spacing w:before="0"/>
              <w:ind w:left="0" w:right="306"/>
              <w:jc w:val="left"/>
            </w:pPr>
            <w:r w:rsidRPr="005669CE">
              <w:rPr>
                <w:lang w:val="fr-FR"/>
              </w:rPr>
              <w:t xml:space="preserve">Signature/Marque du témoin   </w:t>
            </w:r>
          </w:p>
        </w:tc>
        <w:tc>
          <w:tcPr>
            <w:tcW w:w="1859" w:type="dxa"/>
            <w:tcBorders>
              <w:left w:val="nil"/>
            </w:tcBorders>
          </w:tcPr>
          <w:p w14:paraId="61364C87" w14:textId="77777777" w:rsidR="007E4A20" w:rsidRPr="005669CE" w:rsidRDefault="00DB0A1C" w:rsidP="00CF7F9D">
            <w:pPr>
              <w:pStyle w:val="BodyText"/>
              <w:spacing w:before="0"/>
              <w:ind w:left="0" w:right="306"/>
              <w:jc w:val="left"/>
            </w:pPr>
            <w:r w:rsidRPr="005669CE">
              <w:rPr>
                <w:lang w:val="fr-FR"/>
              </w:rPr>
              <w:t>Date</w:t>
            </w:r>
          </w:p>
        </w:tc>
      </w:tr>
    </w:tbl>
    <w:p w14:paraId="7D78594E" w14:textId="77777777" w:rsidR="00F74F47" w:rsidRPr="005669CE" w:rsidRDefault="00F74F47" w:rsidP="00CE74C2">
      <w:pPr>
        <w:jc w:val="both"/>
        <w:sectPr w:rsidR="00F74F47" w:rsidRPr="005669CE" w:rsidSect="008622E9">
          <w:pgSz w:w="12240" w:h="15840"/>
          <w:pgMar w:top="1440" w:right="1077" w:bottom="1440" w:left="1077" w:header="720" w:footer="720" w:gutter="0"/>
          <w:cols w:space="720"/>
        </w:sectPr>
      </w:pPr>
    </w:p>
    <w:p w14:paraId="0D06F6DB" w14:textId="77777777" w:rsidR="000E2E95" w:rsidRPr="005669CE" w:rsidRDefault="00DB0A1C" w:rsidP="00341A0D">
      <w:pPr>
        <w:pStyle w:val="BodyText"/>
      </w:pPr>
      <w:r w:rsidRPr="005669CE">
        <w:rPr>
          <w:noProof/>
        </w:rPr>
        <w:lastRenderedPageBreak/>
        <mc:AlternateContent>
          <mc:Choice Requires="wps">
            <w:drawing>
              <wp:anchor distT="0" distB="0" distL="0" distR="0" simplePos="0" relativeHeight="251658240" behindDoc="0" locked="0" layoutInCell="1" allowOverlap="1" wp14:anchorId="29FC268E" wp14:editId="0978DA1D">
                <wp:simplePos x="0" y="0"/>
                <wp:positionH relativeFrom="page">
                  <wp:posOffset>4572000</wp:posOffset>
                </wp:positionH>
                <wp:positionV relativeFrom="paragraph">
                  <wp:posOffset>2540</wp:posOffset>
                </wp:positionV>
                <wp:extent cx="247650" cy="198120"/>
                <wp:effectExtent l="0" t="0" r="19050" b="11430"/>
                <wp:wrapNone/>
                <wp:docPr id="97" name="Graphic 97"/>
                <wp:cNvGraphicFramePr/>
                <a:graphic xmlns:a="http://schemas.openxmlformats.org/drawingml/2006/main">
                  <a:graphicData uri="http://schemas.microsoft.com/office/word/2010/wordprocessingShape">
                    <wps:wsp>
                      <wps:cNvSpPr/>
                      <wps:spPr>
                        <a:xfrm>
                          <a:off x="0" y="0"/>
                          <a:ext cx="247650" cy="198120"/>
                        </a:xfrm>
                        <a:custGeom>
                          <a:avLst/>
                          <a:gdLst/>
                          <a:ahLst/>
                          <a:cxnLst/>
                          <a:rect l="l" t="t" r="r" b="b"/>
                          <a:pathLst>
                            <a:path w="247650" h="198120">
                              <a:moveTo>
                                <a:pt x="0" y="198120"/>
                              </a:moveTo>
                              <a:lnTo>
                                <a:pt x="247650" y="198120"/>
                              </a:lnTo>
                              <a:lnTo>
                                <a:pt x="247650" y="0"/>
                              </a:lnTo>
                              <a:lnTo>
                                <a:pt x="0" y="0"/>
                              </a:lnTo>
                              <a:lnTo>
                                <a:pt x="0" y="198120"/>
                              </a:lnTo>
                              <a:close/>
                            </a:path>
                          </a:pathLst>
                        </a:custGeom>
                        <a:ln w="9525">
                          <a:solidFill>
                            <a:srgbClr val="000000"/>
                          </a:solidFill>
                        </a:ln>
                      </wps:spPr>
                      <wps:bodyPr wrap="square" lIns="0" tIns="0" rIns="0" bIns="0" rtlCol="0">
                        <a:prstTxWarp prst="textNoShape">
                          <a:avLst/>
                        </a:prstTxWarp>
                      </wps:bodyPr>
                    </wps:wsp>
                  </a:graphicData>
                </a:graphic>
              </wp:anchor>
            </w:drawing>
          </mc:Choice>
          <mc:Fallback xmlns:a14="http://schemas.microsoft.com/office/drawing/2010/main" xmlns:pic="http://schemas.openxmlformats.org/drawingml/2006/picture" xmlns:a="http://schemas.openxmlformats.org/drawingml/2006/main">
            <w:pict w14:anchorId="733CFE87">
              <v:shape id="Graphic 97" style="position:absolute;margin-left:5in;margin-top:.2pt;width:19.5pt;height:15.6pt;z-index:251658240;visibility:visible;mso-wrap-style:square;mso-wrap-distance-left:0;mso-wrap-distance-top:0;mso-wrap-distance-right:0;mso-wrap-distance-bottom:0;mso-position-horizontal:absolute;mso-position-horizontal-relative:page;mso-position-vertical:absolute;mso-position-vertical-relative:text;v-text-anchor:top" coordsize="247650,198120" o:spid="_x0000_s1026" filled="f" path="m,198120r247650,l247650,,,,,19812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" w14:anchorId="364307DF">
                <v:path arrowok="t"/>
                <w10:wrap anchorx="page"/>
              </v:shape>
            </w:pict>
          </mc:Fallback>
        </mc:AlternateContent>
      </w:r>
      <w:r w:rsidRPr="005669CE">
        <w:rPr>
          <w:lang w:val="fr-FR"/>
        </w:rPr>
        <w:t>Cochez la case si le participant refuse la présence d’un témoin.</w:t>
      </w:r>
    </w:p>
    <w:p w14:paraId="5F38EA3A" w14:textId="77777777" w:rsidR="000E2E95" w:rsidRPr="005669CE" w:rsidRDefault="000E2E95" w:rsidP="00341A0D">
      <w:pPr>
        <w:pStyle w:val="BodyText"/>
      </w:pPr>
    </w:p>
    <w:p w14:paraId="257E9587" w14:textId="77777777" w:rsidR="000E2E95" w:rsidRPr="005669CE" w:rsidRDefault="00DB0A1C" w:rsidP="00341A0D">
      <w:pPr>
        <w:pStyle w:val="BodyText"/>
      </w:pPr>
      <w:r w:rsidRPr="005669CE">
        <w:rPr>
          <w:lang w:val="fr-FR"/>
        </w:rPr>
        <w:t>J’atteste que j’ai expliqué avec précision les informations relatives à l’étude sur ______ et qu’elles ont été comprises, à ma connaissance, par le participant et que celui-ci a donné librement son consentement à participer en présence du témoin impartial susmentionné (le cas échéant).</w:t>
      </w:r>
    </w:p>
    <w:p w14:paraId="043B2973" w14:textId="77777777" w:rsidR="000E2E95" w:rsidRPr="005669CE" w:rsidRDefault="000E2E95" w:rsidP="00341A0D">
      <w:pPr>
        <w:pStyle w:val="BodyText"/>
      </w:pPr>
    </w:p>
    <w:tbl>
      <w:tblPr>
        <w:tblStyle w:val="TableGrid"/>
        <w:tblW w:w="0" w:type="auto"/>
        <w:tblInd w:w="10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06"/>
        <w:gridCol w:w="4111"/>
        <w:gridCol w:w="1859"/>
      </w:tblGrid>
      <w:tr w:rsidR="000C10E3" w14:paraId="785072E5" w14:textId="77777777" w:rsidTr="00CF7F9D">
        <w:tc>
          <w:tcPr>
            <w:tcW w:w="4006" w:type="dxa"/>
            <w:tcBorders>
              <w:top w:val="nil"/>
              <w:bottom w:val="single" w:sz="4" w:space="0" w:color="auto"/>
              <w:right w:val="nil"/>
            </w:tcBorders>
          </w:tcPr>
          <w:p w14:paraId="6CB1C63D" w14:textId="77777777" w:rsidR="007E4A20" w:rsidRPr="005669CE" w:rsidRDefault="007E4A20" w:rsidP="00CF7F9D">
            <w:pPr>
              <w:pStyle w:val="BodyText"/>
              <w:ind w:left="0"/>
            </w:pPr>
          </w:p>
        </w:tc>
        <w:tc>
          <w:tcPr>
            <w:tcW w:w="4111" w:type="dxa"/>
            <w:tcBorders>
              <w:top w:val="nil"/>
              <w:left w:val="nil"/>
              <w:bottom w:val="single" w:sz="4" w:space="0" w:color="auto"/>
              <w:right w:val="nil"/>
            </w:tcBorders>
          </w:tcPr>
          <w:p w14:paraId="7B0F0B77" w14:textId="77777777" w:rsidR="007E4A20" w:rsidRPr="005669CE" w:rsidRDefault="007E4A20" w:rsidP="00CF7F9D">
            <w:pPr>
              <w:pStyle w:val="BodyText"/>
              <w:ind w:left="0"/>
            </w:pPr>
          </w:p>
        </w:tc>
        <w:tc>
          <w:tcPr>
            <w:tcW w:w="1859" w:type="dxa"/>
            <w:tcBorders>
              <w:left w:val="nil"/>
            </w:tcBorders>
          </w:tcPr>
          <w:p w14:paraId="0B37D76F" w14:textId="77777777" w:rsidR="007E4A20" w:rsidRPr="005669CE" w:rsidRDefault="007E4A20" w:rsidP="00CF7F9D">
            <w:pPr>
              <w:pStyle w:val="BodyText"/>
              <w:ind w:left="0"/>
            </w:pPr>
          </w:p>
        </w:tc>
      </w:tr>
      <w:tr w:rsidR="000C10E3" w14:paraId="05A7432E" w14:textId="77777777" w:rsidTr="00CF7F9D">
        <w:tc>
          <w:tcPr>
            <w:tcW w:w="4006" w:type="dxa"/>
            <w:tcBorders>
              <w:top w:val="single" w:sz="4" w:space="0" w:color="auto"/>
              <w:bottom w:val="nil"/>
              <w:right w:val="nil"/>
            </w:tcBorders>
          </w:tcPr>
          <w:p w14:paraId="4154B686" w14:textId="77777777" w:rsidR="007E4A20" w:rsidRPr="005669CE" w:rsidRDefault="00DB0A1C" w:rsidP="00CF7F9D">
            <w:pPr>
              <w:pStyle w:val="BodyText"/>
              <w:spacing w:before="0"/>
              <w:ind w:left="0" w:right="306"/>
              <w:jc w:val="left"/>
            </w:pPr>
            <w:r w:rsidRPr="005669CE">
              <w:rPr>
                <w:lang w:val="fr-FR"/>
              </w:rPr>
              <w:t>Nom de la personne qui obtient le consentement en caractères d’imprimerie</w:t>
            </w:r>
          </w:p>
        </w:tc>
        <w:tc>
          <w:tcPr>
            <w:tcW w:w="4111" w:type="dxa"/>
            <w:tcBorders>
              <w:top w:val="single" w:sz="4" w:space="0" w:color="auto"/>
              <w:left w:val="nil"/>
              <w:bottom w:val="nil"/>
              <w:right w:val="nil"/>
            </w:tcBorders>
          </w:tcPr>
          <w:p w14:paraId="69EB0BEB" w14:textId="77777777" w:rsidR="007E4A20" w:rsidRPr="005669CE" w:rsidRDefault="00DB0A1C" w:rsidP="00CF7F9D">
            <w:pPr>
              <w:pStyle w:val="BodyText"/>
              <w:spacing w:before="0"/>
              <w:ind w:left="0" w:right="306"/>
              <w:jc w:val="left"/>
            </w:pPr>
            <w:r w:rsidRPr="005669CE">
              <w:rPr>
                <w:lang w:val="fr-FR"/>
              </w:rPr>
              <w:t>Signature de la personne qui obtient le consentement</w:t>
            </w:r>
          </w:p>
        </w:tc>
        <w:tc>
          <w:tcPr>
            <w:tcW w:w="1859" w:type="dxa"/>
            <w:tcBorders>
              <w:left w:val="nil"/>
            </w:tcBorders>
          </w:tcPr>
          <w:p w14:paraId="79351D05" w14:textId="77777777" w:rsidR="007E4A20" w:rsidRPr="005669CE" w:rsidRDefault="00DB0A1C" w:rsidP="00CF7F9D">
            <w:pPr>
              <w:pStyle w:val="BodyText"/>
              <w:spacing w:before="0"/>
              <w:ind w:left="0" w:right="306"/>
              <w:jc w:val="left"/>
            </w:pPr>
            <w:r w:rsidRPr="005669CE">
              <w:rPr>
                <w:lang w:val="fr-FR"/>
              </w:rPr>
              <w:t>Date</w:t>
            </w:r>
          </w:p>
        </w:tc>
      </w:tr>
    </w:tbl>
    <w:p w14:paraId="7CC8E0A6" w14:textId="77777777" w:rsidR="000E2E95" w:rsidRPr="005669CE" w:rsidRDefault="000E2E95" w:rsidP="00341A0D">
      <w:pPr>
        <w:pStyle w:val="BodyText"/>
      </w:pPr>
    </w:p>
    <w:p w14:paraId="415F2F33" w14:textId="77777777" w:rsidR="000E2E95" w:rsidRPr="005669CE" w:rsidRDefault="000E2E95" w:rsidP="00CE74C2">
      <w:pPr>
        <w:jc w:val="both"/>
        <w:sectPr w:rsidR="000E2E95" w:rsidRPr="005669CE" w:rsidSect="008622E9">
          <w:pgSz w:w="12240" w:h="15840"/>
          <w:pgMar w:top="1440" w:right="1077" w:bottom="1440" w:left="1077" w:header="720" w:footer="720" w:gutter="0"/>
          <w:cols w:space="720"/>
        </w:sectPr>
      </w:pPr>
    </w:p>
    <w:p w14:paraId="7BA28AC5" w14:textId="77777777" w:rsidR="000E2E95" w:rsidRPr="005669CE" w:rsidRDefault="00DB0A1C" w:rsidP="00972621">
      <w:pPr>
        <w:pStyle w:val="Heading2"/>
        <w:ind w:left="0"/>
        <w:jc w:val="left"/>
      </w:pPr>
      <w:bookmarkStart w:id="73" w:name="_bookmark31"/>
      <w:bookmarkStart w:id="74" w:name="_Toc181011891"/>
      <w:bookmarkEnd w:id="73"/>
      <w:r>
        <w:rPr>
          <w:lang w:val="fr-FR"/>
        </w:rPr>
        <w:lastRenderedPageBreak/>
        <w:t>Évaluations pratiques et de précision sur la schistosomiase : Formulaire de consentement - Responsable d’établissement (formulaire B.2)</w:t>
      </w:r>
      <w:bookmarkEnd w:id="74"/>
    </w:p>
    <w:p w14:paraId="25B2A034" w14:textId="77777777" w:rsidR="000E2E95" w:rsidRPr="005669CE" w:rsidRDefault="00DB0A1C" w:rsidP="00347DD9">
      <w:pPr>
        <w:pStyle w:val="Heading4"/>
        <w:spacing w:before="121"/>
        <w:ind w:left="0"/>
        <w:jc w:val="both"/>
      </w:pPr>
      <w:r w:rsidRPr="005669CE">
        <w:rPr>
          <w:lang w:val="fr-FR"/>
        </w:rPr>
        <w:t xml:space="preserve">Mesure de la prévalence de la schistosomiase et des helminthes transmis par le sol dans/en </w:t>
      </w:r>
      <w:r w:rsidRPr="005669CE">
        <w:rPr>
          <w:color w:val="000000"/>
          <w:spacing w:val="-2"/>
          <w:highlight w:val="yellow"/>
          <w:lang w:val="fr-FR"/>
        </w:rPr>
        <w:t>&lt;pays&gt;</w:t>
      </w:r>
    </w:p>
    <w:p w14:paraId="50B8AF73" w14:textId="77777777" w:rsidR="00347DD9" w:rsidRPr="005669CE" w:rsidRDefault="00DB0A1C" w:rsidP="00347DD9">
      <w:pPr>
        <w:pStyle w:val="BodyText"/>
        <w:ind w:left="0"/>
      </w:pPr>
      <w:r w:rsidRPr="005669CE">
        <w:rPr>
          <w:lang w:val="fr-FR"/>
        </w:rPr>
        <w:t xml:space="preserve">Lieu : </w:t>
      </w:r>
      <w:r w:rsidRPr="005669CE">
        <w:rPr>
          <w:u w:val="single"/>
          <w:lang w:val="fr-FR"/>
        </w:rPr>
        <w:tab/>
        <w:t>___________</w:t>
      </w:r>
      <w:r w:rsidRPr="005669CE">
        <w:rPr>
          <w:lang w:val="fr-FR"/>
        </w:rPr>
        <w:t xml:space="preserve">Date : </w:t>
      </w:r>
      <w:r w:rsidRPr="005669CE">
        <w:rPr>
          <w:u w:val="single"/>
          <w:lang w:val="fr-FR"/>
        </w:rPr>
        <w:tab/>
        <w:t>_________</w:t>
      </w:r>
    </w:p>
    <w:p w14:paraId="582FB055" w14:textId="77777777" w:rsidR="000E2E95" w:rsidRPr="005669CE" w:rsidRDefault="00DB0A1C" w:rsidP="00347DD9">
      <w:pPr>
        <w:pStyle w:val="BodyText"/>
        <w:ind w:left="0"/>
      </w:pPr>
      <w:r w:rsidRPr="005669CE">
        <w:rPr>
          <w:lang w:val="fr-FR"/>
        </w:rPr>
        <w:t>Pour montrer que vous avez compris les informations que nous vous avons données et que vous acceptez la participation de vos élèves à l’enquête, nous vous demandons de confirmer que vous êtes d’accord avec les déclarations suivantes en apposant vos initiales sur chacune d’elles :</w:t>
      </w:r>
    </w:p>
    <w:p w14:paraId="388C99C0" w14:textId="77777777" w:rsidR="00347DD9" w:rsidRPr="005669CE" w:rsidRDefault="00347DD9" w:rsidP="00347DD9">
      <w:pPr>
        <w:pStyle w:val="BodyText"/>
        <w:ind w:left="0"/>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075"/>
        <w:gridCol w:w="2001"/>
      </w:tblGrid>
      <w:tr w:rsidR="000C10E3" w14:paraId="298B30B3" w14:textId="77777777" w:rsidTr="00347DD9">
        <w:trPr>
          <w:trHeight w:val="568"/>
        </w:trPr>
        <w:tc>
          <w:tcPr>
            <w:tcW w:w="4007" w:type="pct"/>
          </w:tcPr>
          <w:p w14:paraId="04F331AC" w14:textId="77777777" w:rsidR="000E2E95" w:rsidRPr="005669CE" w:rsidRDefault="000E2E95" w:rsidP="00CE74C2">
            <w:pPr>
              <w:pStyle w:val="TableParagraph"/>
              <w:jc w:val="both"/>
              <w:rPr>
                <w:rFonts w:ascii="Times New Roman"/>
              </w:rPr>
            </w:pPr>
          </w:p>
        </w:tc>
        <w:tc>
          <w:tcPr>
            <w:tcW w:w="993" w:type="pct"/>
          </w:tcPr>
          <w:p w14:paraId="00C53B93" w14:textId="77777777" w:rsidR="000E2E95" w:rsidRPr="005669CE" w:rsidRDefault="00DB0A1C" w:rsidP="00CE74C2">
            <w:pPr>
              <w:pStyle w:val="TableParagraph"/>
              <w:spacing w:before="152"/>
              <w:ind w:left="105"/>
              <w:jc w:val="both"/>
            </w:pPr>
            <w:r w:rsidRPr="005669CE">
              <w:rPr>
                <w:lang w:val="fr-FR"/>
              </w:rPr>
              <w:t>Initiales de la personne</w:t>
            </w:r>
          </w:p>
        </w:tc>
      </w:tr>
      <w:tr w:rsidR="000C10E3" w14:paraId="1CE9938F" w14:textId="77777777" w:rsidTr="00347DD9">
        <w:trPr>
          <w:trHeight w:val="777"/>
        </w:trPr>
        <w:tc>
          <w:tcPr>
            <w:tcW w:w="4007" w:type="pct"/>
          </w:tcPr>
          <w:p w14:paraId="5BD802A4" w14:textId="77777777" w:rsidR="000E2E95" w:rsidRPr="005669CE" w:rsidRDefault="00DB0A1C" w:rsidP="00CE74C2">
            <w:pPr>
              <w:pStyle w:val="TableParagraph"/>
              <w:spacing w:before="121"/>
              <w:ind w:left="107" w:right="202"/>
              <w:jc w:val="both"/>
            </w:pPr>
            <w:r w:rsidRPr="005669CE">
              <w:rPr>
                <w:lang w:val="fr-FR"/>
              </w:rPr>
              <w:t>J’ai lu et compris les informations fournies sur l’étude ; j’ai eu l’occasion de poser des questions et les réponses fournies m’ont donné satisfaction.</w:t>
            </w:r>
          </w:p>
        </w:tc>
        <w:tc>
          <w:tcPr>
            <w:tcW w:w="993" w:type="pct"/>
          </w:tcPr>
          <w:p w14:paraId="08EA3B17" w14:textId="77777777" w:rsidR="000E2E95" w:rsidRPr="005669CE" w:rsidRDefault="000E2E95" w:rsidP="00CE74C2">
            <w:pPr>
              <w:pStyle w:val="TableParagraph"/>
              <w:jc w:val="both"/>
              <w:rPr>
                <w:rFonts w:ascii="Times New Roman"/>
              </w:rPr>
            </w:pPr>
          </w:p>
        </w:tc>
      </w:tr>
      <w:tr w:rsidR="000C10E3" w14:paraId="52813850" w14:textId="77777777" w:rsidTr="00347DD9">
        <w:trPr>
          <w:trHeight w:val="777"/>
        </w:trPr>
        <w:tc>
          <w:tcPr>
            <w:tcW w:w="4007" w:type="pct"/>
          </w:tcPr>
          <w:p w14:paraId="47CEA340" w14:textId="77777777" w:rsidR="000E2E95" w:rsidRPr="005669CE" w:rsidRDefault="00DB0A1C" w:rsidP="00CE74C2">
            <w:pPr>
              <w:pStyle w:val="TableParagraph"/>
              <w:spacing w:before="121"/>
              <w:ind w:left="107" w:right="202"/>
              <w:jc w:val="both"/>
            </w:pPr>
            <w:r w:rsidRPr="005669CE">
              <w:rPr>
                <w:lang w:val="fr-FR"/>
              </w:rPr>
              <w:t>J’accepte que mes élèves participent à cette enquête et fournissent les échantillons nécessaires à l’examen par les techniciens de laboratoire.</w:t>
            </w:r>
          </w:p>
        </w:tc>
        <w:tc>
          <w:tcPr>
            <w:tcW w:w="993" w:type="pct"/>
          </w:tcPr>
          <w:p w14:paraId="5D59A0F8" w14:textId="77777777" w:rsidR="000E2E95" w:rsidRPr="005669CE" w:rsidRDefault="000E2E95" w:rsidP="00CE74C2">
            <w:pPr>
              <w:pStyle w:val="TableParagraph"/>
              <w:jc w:val="both"/>
              <w:rPr>
                <w:rFonts w:ascii="Times New Roman"/>
              </w:rPr>
            </w:pPr>
          </w:p>
        </w:tc>
      </w:tr>
      <w:tr w:rsidR="000C10E3" w14:paraId="29D7DE6C" w14:textId="77777777" w:rsidTr="00347DD9">
        <w:trPr>
          <w:trHeight w:val="1315"/>
        </w:trPr>
        <w:tc>
          <w:tcPr>
            <w:tcW w:w="4007" w:type="pct"/>
          </w:tcPr>
          <w:p w14:paraId="425A3652" w14:textId="77777777" w:rsidR="000E2E95" w:rsidRPr="005669CE" w:rsidRDefault="00DB0A1C" w:rsidP="00CE74C2">
            <w:pPr>
              <w:pStyle w:val="TableParagraph"/>
              <w:spacing w:before="121"/>
              <w:ind w:left="107" w:right="64"/>
              <w:jc w:val="both"/>
            </w:pPr>
            <w:r w:rsidRPr="005669CE">
              <w:rPr>
                <w:lang w:val="fr-FR"/>
              </w:rPr>
              <w:t>Je comprends que le nom réel de mes élèves ne sera pas stocké ou divulgué à d’autres personnes, que leurs résultats seront stockés électroniquement dans un endroit sécurisé et qu’après l’enquête, ces résultats pourront être partagés avec d’autres chercheurs, mais que mes élèves ne seront pas identifiables à partir de ces informations.</w:t>
            </w:r>
          </w:p>
        </w:tc>
        <w:tc>
          <w:tcPr>
            <w:tcW w:w="993" w:type="pct"/>
          </w:tcPr>
          <w:p w14:paraId="19E2B8CA" w14:textId="77777777" w:rsidR="000E2E95" w:rsidRPr="005669CE" w:rsidRDefault="000E2E95" w:rsidP="00CE74C2">
            <w:pPr>
              <w:pStyle w:val="TableParagraph"/>
              <w:jc w:val="both"/>
              <w:rPr>
                <w:rFonts w:ascii="Times New Roman"/>
              </w:rPr>
            </w:pPr>
          </w:p>
        </w:tc>
      </w:tr>
      <w:tr w:rsidR="000C10E3" w14:paraId="77C69C18" w14:textId="77777777" w:rsidTr="00347DD9">
        <w:trPr>
          <w:trHeight w:val="774"/>
        </w:trPr>
        <w:tc>
          <w:tcPr>
            <w:tcW w:w="4007" w:type="pct"/>
          </w:tcPr>
          <w:p w14:paraId="597CA22F" w14:textId="77777777" w:rsidR="000E2E95" w:rsidRPr="005669CE" w:rsidRDefault="00DB0A1C" w:rsidP="00CE74C2">
            <w:pPr>
              <w:pStyle w:val="TableParagraph"/>
              <w:spacing w:before="121"/>
              <w:ind w:left="107"/>
              <w:jc w:val="both"/>
            </w:pPr>
            <w:r w:rsidRPr="005669CE">
              <w:t>I understand that my pupils’ participation is voluntary and that they can</w:t>
            </w:r>
          </w:p>
          <w:p w14:paraId="1D66D3D2" w14:textId="77777777" w:rsidR="000E2E95" w:rsidRPr="005669CE" w:rsidRDefault="00DB0A1C" w:rsidP="00CE74C2">
            <w:pPr>
              <w:pStyle w:val="TableParagraph"/>
              <w:ind w:left="107"/>
              <w:jc w:val="both"/>
            </w:pPr>
            <w:r w:rsidRPr="005669CE">
              <w:t>withdraw at any time without having to provide a reason.</w:t>
            </w:r>
          </w:p>
        </w:tc>
        <w:tc>
          <w:tcPr>
            <w:tcW w:w="993" w:type="pct"/>
          </w:tcPr>
          <w:p w14:paraId="0CD8E49A" w14:textId="77777777" w:rsidR="000E2E95" w:rsidRPr="005669CE" w:rsidRDefault="000E2E95" w:rsidP="00CE74C2">
            <w:pPr>
              <w:pStyle w:val="TableParagraph"/>
              <w:jc w:val="both"/>
              <w:rPr>
                <w:rFonts w:ascii="Times New Roman"/>
              </w:rPr>
            </w:pPr>
          </w:p>
        </w:tc>
      </w:tr>
      <w:tr w:rsidR="000C10E3" w14:paraId="1E305668" w14:textId="77777777" w:rsidTr="00347DD9">
        <w:trPr>
          <w:trHeight w:val="1046"/>
        </w:trPr>
        <w:tc>
          <w:tcPr>
            <w:tcW w:w="4007" w:type="pct"/>
          </w:tcPr>
          <w:p w14:paraId="195F2EBF" w14:textId="77777777" w:rsidR="000E2E95" w:rsidRPr="005669CE" w:rsidRDefault="00DB0A1C" w:rsidP="00CE74C2">
            <w:pPr>
              <w:pStyle w:val="TableParagraph"/>
              <w:spacing w:before="124"/>
              <w:ind w:left="107" w:right="202"/>
              <w:jc w:val="both"/>
            </w:pPr>
            <w:r w:rsidRPr="005669CE">
              <w:rPr>
                <w:lang w:val="fr-FR"/>
              </w:rPr>
              <w:t>Je confirme que j’ai eu la possibilité de contacter l’équipe de recherche après l’enquête pour poser des questions supplémentaires, faire part de mes préoccupations ou interrompre ma participation.</w:t>
            </w:r>
          </w:p>
        </w:tc>
        <w:tc>
          <w:tcPr>
            <w:tcW w:w="993" w:type="pct"/>
          </w:tcPr>
          <w:p w14:paraId="739109C2" w14:textId="77777777" w:rsidR="000E2E95" w:rsidRPr="005669CE" w:rsidRDefault="000E2E95" w:rsidP="00CE74C2">
            <w:pPr>
              <w:pStyle w:val="TableParagraph"/>
              <w:jc w:val="both"/>
              <w:rPr>
                <w:rFonts w:ascii="Times New Roman"/>
              </w:rPr>
            </w:pPr>
          </w:p>
        </w:tc>
      </w:tr>
    </w:tbl>
    <w:p w14:paraId="3F6FA23B" w14:textId="77777777" w:rsidR="00347DD9" w:rsidRPr="005669CE" w:rsidRDefault="00347DD9" w:rsidP="00341A0D">
      <w:pPr>
        <w:pStyle w:val="BodyText"/>
      </w:pPr>
    </w:p>
    <w:p w14:paraId="38AF9218" w14:textId="77777777" w:rsidR="000E2E95" w:rsidRPr="005669CE" w:rsidRDefault="00DB0A1C" w:rsidP="00341A0D">
      <w:pPr>
        <w:pStyle w:val="BodyText"/>
      </w:pPr>
      <w:r w:rsidRPr="005669CE">
        <w:rPr>
          <w:lang w:val="fr-FR"/>
        </w:rPr>
        <w:t>Après avoir confirmé que vous êtes d’accord avec toutes les déclarations ci-dessus, veuillez apposer votre marque ou votre signature.</w:t>
      </w:r>
    </w:p>
    <w:p w14:paraId="42846255" w14:textId="77777777" w:rsidR="000E2E95" w:rsidRPr="005669CE" w:rsidRDefault="00DB0A1C" w:rsidP="00341A0D">
      <w:pPr>
        <w:pStyle w:val="BodyText"/>
        <w:rPr>
          <w:rFonts w:ascii="Times New Roman" w:hAnsi="Times New Roman"/>
        </w:rPr>
      </w:pPr>
      <w:r w:rsidRPr="005669CE">
        <w:rPr>
          <w:lang w:val="fr-FR"/>
        </w:rPr>
        <w:t>Nom de l’école :</w:t>
      </w:r>
      <w:r w:rsidRPr="005669CE">
        <w:rPr>
          <w:rFonts w:ascii="Times New Roman" w:hAnsi="Times New Roman"/>
          <w:u w:val="single"/>
          <w:lang w:val="fr-FR"/>
        </w:rPr>
        <w:tab/>
      </w:r>
    </w:p>
    <w:p w14:paraId="6BBD38E2" w14:textId="77777777" w:rsidR="000E2E95" w:rsidRPr="005669CE" w:rsidRDefault="00DB0A1C" w:rsidP="00341A0D">
      <w:pPr>
        <w:pStyle w:val="BodyText"/>
      </w:pPr>
      <w:r w:rsidRPr="005669CE">
        <w:rPr>
          <w:lang w:val="fr-FR"/>
        </w:rPr>
        <w:t xml:space="preserve">Nom du responsable d’établissement : </w:t>
      </w:r>
      <w:r w:rsidRPr="005669CE">
        <w:rPr>
          <w:u w:val="single"/>
          <w:lang w:val="fr-FR"/>
        </w:rPr>
        <w:tab/>
      </w:r>
    </w:p>
    <w:p w14:paraId="553C266B" w14:textId="77777777" w:rsidR="000E2E95" w:rsidRPr="005669CE" w:rsidRDefault="00DB0A1C" w:rsidP="00CE74C2">
      <w:pPr>
        <w:spacing w:before="120"/>
        <w:ind w:left="120"/>
        <w:jc w:val="both"/>
        <w:rPr>
          <w:i/>
        </w:rPr>
      </w:pPr>
      <w:r w:rsidRPr="005669CE">
        <w:rPr>
          <w:i/>
          <w:iCs/>
          <w:lang w:val="fr-FR"/>
        </w:rPr>
        <w:t>[APPOSER LE CACHET DE L’ÉCOLE SUR LE FORMULAIRE SIGNÉ, LE CAS ÉCHÉANT]</w:t>
      </w:r>
    </w:p>
    <w:p w14:paraId="7F9ABB7F" w14:textId="77777777" w:rsidR="000E2E95" w:rsidRPr="005669CE" w:rsidRDefault="000E2E95" w:rsidP="00CE74C2">
      <w:pPr>
        <w:jc w:val="both"/>
        <w:sectPr w:rsidR="000E2E95" w:rsidRPr="005669CE" w:rsidSect="008622E9">
          <w:pgSz w:w="12240" w:h="15840"/>
          <w:pgMar w:top="1440" w:right="1077" w:bottom="1440" w:left="1077" w:header="720" w:footer="720" w:gutter="0"/>
          <w:cols w:space="720"/>
        </w:sectPr>
      </w:pPr>
    </w:p>
    <w:p w14:paraId="6E17F52A" w14:textId="77777777" w:rsidR="000E2E95" w:rsidRPr="005669CE" w:rsidRDefault="00DB0A1C" w:rsidP="00CE74C2">
      <w:pPr>
        <w:pStyle w:val="Heading1"/>
        <w:jc w:val="both"/>
      </w:pPr>
      <w:bookmarkStart w:id="75" w:name="_bookmark32"/>
      <w:bookmarkStart w:id="76" w:name="_Appendix_3:_Hemastix"/>
      <w:bookmarkStart w:id="77" w:name="_Toc181011892"/>
      <w:bookmarkEnd w:id="75"/>
      <w:bookmarkEnd w:id="76"/>
      <w:r w:rsidRPr="005669CE">
        <w:rPr>
          <w:color w:val="1F3863"/>
          <w:lang w:val="fr-FR"/>
        </w:rPr>
        <w:lastRenderedPageBreak/>
        <w:t xml:space="preserve">Annexe 3 : Mode opératoire normalisé pour les bandelettes </w:t>
      </w:r>
      <w:proofErr w:type="spellStart"/>
      <w:r w:rsidRPr="005669CE">
        <w:rPr>
          <w:color w:val="1F3863"/>
          <w:lang w:val="fr-FR"/>
        </w:rPr>
        <w:t>Hemastix</w:t>
      </w:r>
      <w:bookmarkEnd w:id="77"/>
      <w:proofErr w:type="spellEnd"/>
    </w:p>
    <w:p w14:paraId="28253A2E" w14:textId="77777777" w:rsidR="000E2E95" w:rsidRPr="005669CE" w:rsidRDefault="00DB0A1C" w:rsidP="00CE74C2">
      <w:pPr>
        <w:spacing w:before="159"/>
        <w:ind w:left="120"/>
        <w:jc w:val="both"/>
        <w:rPr>
          <w:i/>
        </w:rPr>
      </w:pPr>
      <w:r w:rsidRPr="005669CE">
        <w:rPr>
          <w:i/>
          <w:iCs/>
          <w:lang w:val="fr-FR"/>
        </w:rPr>
        <w:t xml:space="preserve">Diagnostic de : </w:t>
      </w:r>
      <w:proofErr w:type="spellStart"/>
      <w:r w:rsidRPr="005669CE">
        <w:rPr>
          <w:i/>
          <w:iCs/>
          <w:lang w:val="fr-FR"/>
        </w:rPr>
        <w:t>Schistosoma</w:t>
      </w:r>
      <w:proofErr w:type="spellEnd"/>
      <w:r w:rsidRPr="005669CE">
        <w:rPr>
          <w:i/>
          <w:iCs/>
          <w:lang w:val="fr-FR"/>
        </w:rPr>
        <w:t xml:space="preserve"> </w:t>
      </w:r>
      <w:proofErr w:type="spellStart"/>
      <w:r w:rsidRPr="005669CE">
        <w:rPr>
          <w:i/>
          <w:iCs/>
          <w:lang w:val="fr-FR"/>
        </w:rPr>
        <w:t>haematobium</w:t>
      </w:r>
      <w:proofErr w:type="spellEnd"/>
      <w:r w:rsidRPr="005669CE">
        <w:rPr>
          <w:i/>
          <w:iCs/>
          <w:lang w:val="fr-FR"/>
        </w:rPr>
        <w:t>.</w:t>
      </w:r>
    </w:p>
    <w:p w14:paraId="3735BC2C" w14:textId="77777777" w:rsidR="000E2E95" w:rsidRPr="005669CE" w:rsidRDefault="00DB0A1C" w:rsidP="00341A0D">
      <w:pPr>
        <w:pStyle w:val="BodyText"/>
      </w:pPr>
      <w:r w:rsidRPr="005669CE">
        <w:rPr>
          <w:lang w:val="fr-FR"/>
        </w:rPr>
        <w:t>Tous les kits fabriqués sont fournis avec un mode d’emploi. Il est très important de suivre les instructions pour garantir la qualité des résultats.</w:t>
      </w:r>
    </w:p>
    <w:p w14:paraId="2380A613" w14:textId="77777777" w:rsidR="000E2E95" w:rsidRPr="005669CE" w:rsidRDefault="00DB0A1C" w:rsidP="00CE74C2">
      <w:pPr>
        <w:spacing w:before="159"/>
        <w:ind w:left="120"/>
        <w:jc w:val="both"/>
        <w:rPr>
          <w:b/>
        </w:rPr>
      </w:pPr>
      <w:r w:rsidRPr="005669CE">
        <w:rPr>
          <w:b/>
          <w:bCs/>
          <w:u w:val="single"/>
          <w:lang w:val="fr-FR"/>
        </w:rPr>
        <w:t xml:space="preserve">Équipements pour le test </w:t>
      </w:r>
      <w:proofErr w:type="spellStart"/>
      <w:r w:rsidRPr="005669CE">
        <w:rPr>
          <w:b/>
          <w:bCs/>
          <w:u w:val="single"/>
          <w:lang w:val="fr-FR"/>
        </w:rPr>
        <w:t>Hemastix</w:t>
      </w:r>
      <w:proofErr w:type="spellEnd"/>
    </w:p>
    <w:p w14:paraId="196FE253" w14:textId="77777777" w:rsidR="000E2E95" w:rsidRPr="005669CE" w:rsidRDefault="00DB0A1C" w:rsidP="00CE74C2">
      <w:pPr>
        <w:pStyle w:val="ListParagraph"/>
        <w:numPr>
          <w:ilvl w:val="0"/>
          <w:numId w:val="6"/>
        </w:numPr>
        <w:tabs>
          <w:tab w:val="left" w:pos="480"/>
        </w:tabs>
        <w:spacing w:before="63"/>
        <w:jc w:val="both"/>
      </w:pPr>
      <w:r w:rsidRPr="005669CE">
        <w:rPr>
          <w:lang w:val="fr-FR"/>
        </w:rPr>
        <w:t>Échantillon d’urine fraîche</w:t>
      </w:r>
    </w:p>
    <w:p w14:paraId="744A3F33" w14:textId="77777777" w:rsidR="000E2E95" w:rsidRPr="005669CE" w:rsidRDefault="00DB0A1C" w:rsidP="00CE74C2">
      <w:pPr>
        <w:pStyle w:val="ListParagraph"/>
        <w:numPr>
          <w:ilvl w:val="0"/>
          <w:numId w:val="6"/>
        </w:numPr>
        <w:tabs>
          <w:tab w:val="left" w:pos="480"/>
        </w:tabs>
        <w:spacing w:before="20"/>
        <w:jc w:val="both"/>
      </w:pPr>
      <w:r w:rsidRPr="005669CE">
        <w:rPr>
          <w:lang w:val="fr-FR"/>
        </w:rPr>
        <w:t xml:space="preserve">Bandelettes de test </w:t>
      </w:r>
      <w:proofErr w:type="spellStart"/>
      <w:r w:rsidRPr="005669CE">
        <w:rPr>
          <w:lang w:val="fr-FR"/>
        </w:rPr>
        <w:t>Hemastix</w:t>
      </w:r>
      <w:proofErr w:type="spellEnd"/>
    </w:p>
    <w:p w14:paraId="5F677871" w14:textId="77777777" w:rsidR="000E2E95" w:rsidRPr="005669CE" w:rsidRDefault="00DB0A1C" w:rsidP="00CE74C2">
      <w:pPr>
        <w:pStyle w:val="ListParagraph"/>
        <w:numPr>
          <w:ilvl w:val="0"/>
          <w:numId w:val="6"/>
        </w:numPr>
        <w:tabs>
          <w:tab w:val="left" w:pos="480"/>
        </w:tabs>
        <w:spacing w:before="23"/>
        <w:jc w:val="both"/>
      </w:pPr>
      <w:r w:rsidRPr="005669CE">
        <w:rPr>
          <w:lang w:val="fr-FR"/>
        </w:rPr>
        <w:t>Ciseaux</w:t>
      </w:r>
    </w:p>
    <w:p w14:paraId="1F847D11" w14:textId="77777777" w:rsidR="000E2E95" w:rsidRPr="005669CE" w:rsidRDefault="00DB0A1C" w:rsidP="00CE74C2">
      <w:pPr>
        <w:pStyle w:val="ListParagraph"/>
        <w:numPr>
          <w:ilvl w:val="0"/>
          <w:numId w:val="6"/>
        </w:numPr>
        <w:tabs>
          <w:tab w:val="left" w:pos="480"/>
        </w:tabs>
        <w:spacing w:before="22"/>
        <w:jc w:val="both"/>
      </w:pPr>
      <w:r w:rsidRPr="005669CE">
        <w:rPr>
          <w:lang w:val="fr-FR"/>
        </w:rPr>
        <w:t>Tableau des couleurs (séparé ou sur le contenant de la bandelette)</w:t>
      </w:r>
    </w:p>
    <w:p w14:paraId="38BEABE0" w14:textId="77777777" w:rsidR="000E2E95" w:rsidRPr="005669CE" w:rsidRDefault="000E2E95" w:rsidP="00341A0D">
      <w:pPr>
        <w:pStyle w:val="BodyText"/>
      </w:pPr>
    </w:p>
    <w:p w14:paraId="05D47AC8" w14:textId="77777777" w:rsidR="000E2E95" w:rsidRPr="005669CE" w:rsidRDefault="00DB0A1C" w:rsidP="00341A0D">
      <w:pPr>
        <w:pStyle w:val="BodyText"/>
      </w:pPr>
      <w:r w:rsidRPr="005669CE">
        <w:rPr>
          <w:noProof/>
        </w:rPr>
        <w:drawing>
          <wp:anchor distT="0" distB="0" distL="0" distR="0" simplePos="0" relativeHeight="251660288" behindDoc="0" locked="0" layoutInCell="1" allowOverlap="1" wp14:anchorId="7FCD21A3" wp14:editId="7B906EAF">
            <wp:simplePos x="0" y="0"/>
            <wp:positionH relativeFrom="page">
              <wp:posOffset>3263696</wp:posOffset>
            </wp:positionH>
            <wp:positionV relativeFrom="paragraph">
              <wp:posOffset>113808</wp:posOffset>
            </wp:positionV>
            <wp:extent cx="777649" cy="410504"/>
            <wp:effectExtent l="0" t="0" r="0" b="0"/>
            <wp:wrapNone/>
            <wp:docPr id="102" name="Image 102"/>
            <wp:cNvGraphicFramePr/>
            <a:graphic xmlns:a="http://schemas.openxmlformats.org/drawingml/2006/main">
              <a:graphicData uri="http://schemas.openxmlformats.org/drawingml/2006/picture">
                <pic:pic xmlns:pic="http://schemas.openxmlformats.org/drawingml/2006/picture">
                  <pic:nvPicPr>
                    <pic:cNvPr id="666977707" name="Image 102"/>
                    <pic:cNvPicPr/>
                  </pic:nvPicPr>
                  <pic:blipFill>
                    <a:blip r:embed="rId23" cstate="print"/>
                    <a:stretch>
                      <a:fillRect/>
                    </a:stretch>
                  </pic:blipFill>
                  <pic:spPr>
                    <a:xfrm>
                      <a:off x="0" y="0"/>
                      <a:ext cx="777649" cy="410504"/>
                    </a:xfrm>
                    <a:prstGeom prst="rect">
                      <a:avLst/>
                    </a:prstGeom>
                  </pic:spPr>
                </pic:pic>
              </a:graphicData>
            </a:graphic>
          </wp:anchor>
        </w:drawing>
      </w:r>
    </w:p>
    <w:p w14:paraId="43770C4B" w14:textId="77777777" w:rsidR="000E2E95" w:rsidRPr="005669CE" w:rsidRDefault="00DB0A1C" w:rsidP="00341A0D">
      <w:pPr>
        <w:pStyle w:val="BodyText"/>
      </w:pPr>
      <w:r w:rsidRPr="005669CE">
        <w:rPr>
          <w:lang w:val="fr-FR"/>
        </w:rPr>
        <w:t>Démonstration vidéo : cliquez sur l’icône</w:t>
      </w:r>
    </w:p>
    <w:p w14:paraId="491F7795" w14:textId="77777777" w:rsidR="000E2E95" w:rsidRPr="005669CE" w:rsidRDefault="000E2E95" w:rsidP="00341A0D">
      <w:pPr>
        <w:pStyle w:val="BodyText"/>
      </w:pPr>
    </w:p>
    <w:p w14:paraId="573B5CE7" w14:textId="77777777" w:rsidR="000E2E95" w:rsidRPr="005669CE" w:rsidRDefault="000E2E95" w:rsidP="00341A0D">
      <w:pPr>
        <w:pStyle w:val="BodyText"/>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03"/>
        <w:gridCol w:w="2748"/>
      </w:tblGrid>
      <w:tr w:rsidR="000C10E3" w14:paraId="05C197CD" w14:textId="77777777">
        <w:trPr>
          <w:trHeight w:val="448"/>
        </w:trPr>
        <w:tc>
          <w:tcPr>
            <w:tcW w:w="6603" w:type="dxa"/>
          </w:tcPr>
          <w:p w14:paraId="1B67F897" w14:textId="77777777" w:rsidR="000E2E95" w:rsidRPr="005669CE" w:rsidRDefault="00DB0A1C" w:rsidP="00CE74C2">
            <w:pPr>
              <w:pStyle w:val="TableParagraph"/>
              <w:spacing w:line="268" w:lineRule="exact"/>
              <w:ind w:left="107"/>
              <w:jc w:val="both"/>
              <w:rPr>
                <w:b/>
              </w:rPr>
            </w:pPr>
            <w:r w:rsidRPr="005669CE">
              <w:rPr>
                <w:b/>
                <w:bCs/>
                <w:lang w:val="fr-FR"/>
              </w:rPr>
              <w:t>Étapes à suivre pour les bandes de réactif</w:t>
            </w:r>
          </w:p>
        </w:tc>
        <w:tc>
          <w:tcPr>
            <w:tcW w:w="2748" w:type="dxa"/>
          </w:tcPr>
          <w:p w14:paraId="7EB87731" w14:textId="77777777" w:rsidR="000E2E95" w:rsidRPr="005669CE" w:rsidRDefault="00DB0A1C" w:rsidP="00CE74C2">
            <w:pPr>
              <w:pStyle w:val="TableParagraph"/>
              <w:spacing w:line="268" w:lineRule="exact"/>
              <w:ind w:left="105"/>
              <w:jc w:val="both"/>
              <w:rPr>
                <w:b/>
              </w:rPr>
            </w:pPr>
            <w:r w:rsidRPr="005669CE">
              <w:rPr>
                <w:b/>
                <w:bCs/>
                <w:spacing w:val="-2"/>
                <w:lang w:val="fr-FR"/>
              </w:rPr>
              <w:t>Images</w:t>
            </w:r>
          </w:p>
        </w:tc>
      </w:tr>
      <w:tr w:rsidR="000C10E3" w14:paraId="24FB59A4" w14:textId="77777777">
        <w:trPr>
          <w:trHeight w:val="1032"/>
        </w:trPr>
        <w:tc>
          <w:tcPr>
            <w:tcW w:w="6603" w:type="dxa"/>
          </w:tcPr>
          <w:p w14:paraId="6EE956D5" w14:textId="77777777" w:rsidR="000E2E95" w:rsidRPr="005669CE" w:rsidRDefault="00DB0A1C" w:rsidP="00CE74C2">
            <w:pPr>
              <w:pStyle w:val="TableParagraph"/>
              <w:spacing w:before="1" w:line="259" w:lineRule="auto"/>
              <w:ind w:left="107" w:right="200"/>
              <w:jc w:val="both"/>
            </w:pPr>
            <w:r w:rsidRPr="005669CE">
              <w:rPr>
                <w:lang w:val="fr-FR"/>
              </w:rPr>
              <w:t xml:space="preserve">Étape 1 : Prélever un échantillon d’urine fraîche dans un récipient en plastique propre. Veiller à ce que l’urine soit testée sur le terrain dans les </w:t>
            </w:r>
            <w:r w:rsidRPr="005669CE">
              <w:rPr>
                <w:b/>
                <w:bCs/>
                <w:lang w:val="fr-FR"/>
              </w:rPr>
              <w:t xml:space="preserve">2 </w:t>
            </w:r>
            <w:proofErr w:type="gramStart"/>
            <w:r w:rsidRPr="005669CE">
              <w:rPr>
                <w:b/>
                <w:bCs/>
                <w:lang w:val="fr-FR"/>
              </w:rPr>
              <w:t xml:space="preserve">heures </w:t>
            </w:r>
            <w:r w:rsidRPr="005669CE">
              <w:rPr>
                <w:lang w:val="fr-FR"/>
              </w:rPr>
              <w:t xml:space="preserve"> suivant</w:t>
            </w:r>
            <w:proofErr w:type="gramEnd"/>
            <w:r w:rsidRPr="005669CE">
              <w:rPr>
                <w:lang w:val="fr-FR"/>
              </w:rPr>
              <w:t xml:space="preserve"> le prélèvement. En cas de retard, réfrigérer l’échantillon si possible.</w:t>
            </w:r>
          </w:p>
        </w:tc>
        <w:tc>
          <w:tcPr>
            <w:tcW w:w="2748" w:type="dxa"/>
          </w:tcPr>
          <w:p w14:paraId="08B50E89" w14:textId="77777777" w:rsidR="000E2E95" w:rsidRPr="005669CE" w:rsidRDefault="000E2E95" w:rsidP="00CE74C2">
            <w:pPr>
              <w:pStyle w:val="TableParagraph"/>
              <w:jc w:val="both"/>
              <w:rPr>
                <w:rFonts w:ascii="Times New Roman"/>
              </w:rPr>
            </w:pPr>
          </w:p>
        </w:tc>
      </w:tr>
      <w:tr w:rsidR="000C10E3" w14:paraId="42DF208A" w14:textId="77777777">
        <w:trPr>
          <w:trHeight w:val="738"/>
        </w:trPr>
        <w:tc>
          <w:tcPr>
            <w:tcW w:w="6603" w:type="dxa"/>
          </w:tcPr>
          <w:p w14:paraId="59AAA113" w14:textId="77777777" w:rsidR="000E2E95" w:rsidRPr="005669CE" w:rsidRDefault="00DB0A1C" w:rsidP="00CE74C2">
            <w:pPr>
              <w:pStyle w:val="TableParagraph"/>
              <w:spacing w:line="259" w:lineRule="auto"/>
              <w:ind w:left="107" w:right="200"/>
              <w:jc w:val="both"/>
            </w:pPr>
            <w:r w:rsidRPr="005669CE">
              <w:rPr>
                <w:lang w:val="fr-FR"/>
              </w:rPr>
              <w:t>Étape 2 : Retirer une bande de sa bouteille (vous pouvez couper la bande en deux pour économiser les ressources), puis étiqueter les bandes à l’aide de l’identification du patient.</w:t>
            </w:r>
          </w:p>
        </w:tc>
        <w:tc>
          <w:tcPr>
            <w:tcW w:w="2748" w:type="dxa"/>
          </w:tcPr>
          <w:p w14:paraId="01F22E19" w14:textId="77777777" w:rsidR="000E2E95" w:rsidRPr="005669CE" w:rsidRDefault="000E2E95" w:rsidP="00CE74C2">
            <w:pPr>
              <w:pStyle w:val="TableParagraph"/>
              <w:jc w:val="both"/>
              <w:rPr>
                <w:rFonts w:ascii="Times New Roman"/>
              </w:rPr>
            </w:pPr>
          </w:p>
        </w:tc>
      </w:tr>
      <w:tr w:rsidR="000C10E3" w14:paraId="40A2B0FF" w14:textId="77777777">
        <w:trPr>
          <w:trHeight w:val="1682"/>
        </w:trPr>
        <w:tc>
          <w:tcPr>
            <w:tcW w:w="6603" w:type="dxa"/>
          </w:tcPr>
          <w:p w14:paraId="04F03577" w14:textId="77777777" w:rsidR="000E2E95" w:rsidRPr="005669CE" w:rsidRDefault="00DB0A1C" w:rsidP="00CE74C2">
            <w:pPr>
              <w:pStyle w:val="TableParagraph"/>
              <w:spacing w:line="259" w:lineRule="auto"/>
              <w:ind w:left="107" w:right="200"/>
              <w:jc w:val="both"/>
            </w:pPr>
            <w:r w:rsidRPr="005669CE">
              <w:rPr>
                <w:lang w:val="fr-FR"/>
              </w:rPr>
              <w:t>Étape 3 : Immerger entièrement les zones de réactif de la bande dans l’échantillon d’urine pendant quelques secondes.</w:t>
            </w:r>
          </w:p>
        </w:tc>
        <w:tc>
          <w:tcPr>
            <w:tcW w:w="2748" w:type="dxa"/>
          </w:tcPr>
          <w:p w14:paraId="0E3FCCDB" w14:textId="77777777" w:rsidR="000E2E95" w:rsidRPr="005669CE" w:rsidRDefault="00DB0A1C" w:rsidP="00CE74C2">
            <w:pPr>
              <w:pStyle w:val="TableParagraph"/>
              <w:ind w:left="104"/>
              <w:jc w:val="both"/>
              <w:rPr>
                <w:sz w:val="20"/>
              </w:rPr>
            </w:pPr>
            <w:r w:rsidRPr="005669CE">
              <w:rPr>
                <w:noProof/>
                <w:sz w:val="20"/>
              </w:rPr>
              <w:drawing>
                <wp:inline distT="0" distB="0" distL="0" distR="0" wp14:anchorId="6EF3352B" wp14:editId="034BADBB">
                  <wp:extent cx="1036390" cy="947737"/>
                  <wp:effectExtent l="0" t="0" r="0" b="0"/>
                  <wp:docPr id="103" name="Image 103"/>
                  <wp:cNvGraphicFramePr/>
                  <a:graphic xmlns:a="http://schemas.openxmlformats.org/drawingml/2006/main">
                    <a:graphicData uri="http://schemas.openxmlformats.org/drawingml/2006/picture">
                      <pic:pic xmlns:pic="http://schemas.openxmlformats.org/drawingml/2006/picture">
                        <pic:nvPicPr>
                          <pic:cNvPr id="1308452978" name="Image 103"/>
                          <pic:cNvPicPr/>
                        </pic:nvPicPr>
                        <pic:blipFill>
                          <a:blip r:embed="rId24" cstate="print"/>
                          <a:stretch>
                            <a:fillRect/>
                          </a:stretch>
                        </pic:blipFill>
                        <pic:spPr>
                          <a:xfrm>
                            <a:off x="0" y="0"/>
                            <a:ext cx="1036390" cy="947737"/>
                          </a:xfrm>
                          <a:prstGeom prst="rect">
                            <a:avLst/>
                          </a:prstGeom>
                        </pic:spPr>
                      </pic:pic>
                    </a:graphicData>
                  </a:graphic>
                </wp:inline>
              </w:drawing>
            </w:r>
          </w:p>
        </w:tc>
      </w:tr>
      <w:tr w:rsidR="000C10E3" w14:paraId="0C1323F8" w14:textId="77777777">
        <w:trPr>
          <w:trHeight w:val="1631"/>
        </w:trPr>
        <w:tc>
          <w:tcPr>
            <w:tcW w:w="6603" w:type="dxa"/>
          </w:tcPr>
          <w:p w14:paraId="3C6CEC65" w14:textId="77777777" w:rsidR="000E2E95" w:rsidRPr="005669CE" w:rsidRDefault="00DB0A1C" w:rsidP="00CE74C2">
            <w:pPr>
              <w:pStyle w:val="TableParagraph"/>
              <w:spacing w:line="259" w:lineRule="auto"/>
              <w:ind w:left="107"/>
              <w:jc w:val="both"/>
            </w:pPr>
            <w:r w:rsidRPr="005669CE">
              <w:rPr>
                <w:lang w:val="fr-FR"/>
              </w:rPr>
              <w:t>Étape 4 : En retirant la bande, frotter son extrémité contre le bord du récipient pour enlever le surplus d’urine.</w:t>
            </w:r>
          </w:p>
        </w:tc>
        <w:tc>
          <w:tcPr>
            <w:tcW w:w="2748" w:type="dxa"/>
          </w:tcPr>
          <w:p w14:paraId="39B5BCA7" w14:textId="77777777" w:rsidR="000E2E95" w:rsidRPr="005669CE" w:rsidRDefault="00DB0A1C" w:rsidP="00CE74C2">
            <w:pPr>
              <w:pStyle w:val="TableParagraph"/>
              <w:ind w:left="104"/>
              <w:jc w:val="both"/>
              <w:rPr>
                <w:sz w:val="20"/>
              </w:rPr>
            </w:pPr>
            <w:r w:rsidRPr="005669CE">
              <w:rPr>
                <w:noProof/>
                <w:sz w:val="20"/>
              </w:rPr>
              <w:drawing>
                <wp:inline distT="0" distB="0" distL="0" distR="0" wp14:anchorId="0954A332" wp14:editId="0F057ADA">
                  <wp:extent cx="990600" cy="918972"/>
                  <wp:effectExtent l="0" t="0" r="0" b="0"/>
                  <wp:docPr id="104" name="Image 104"/>
                  <wp:cNvGraphicFramePr/>
                  <a:graphic xmlns:a="http://schemas.openxmlformats.org/drawingml/2006/main">
                    <a:graphicData uri="http://schemas.openxmlformats.org/drawingml/2006/picture">
                      <pic:pic xmlns:pic="http://schemas.openxmlformats.org/drawingml/2006/picture">
                        <pic:nvPicPr>
                          <pic:cNvPr id="962311738" name="Image 104"/>
                          <pic:cNvPicPr/>
                        </pic:nvPicPr>
                        <pic:blipFill>
                          <a:blip r:embed="rId25" cstate="print"/>
                          <a:stretch>
                            <a:fillRect/>
                          </a:stretch>
                        </pic:blipFill>
                        <pic:spPr>
                          <a:xfrm>
                            <a:off x="0" y="0"/>
                            <a:ext cx="990600" cy="918972"/>
                          </a:xfrm>
                          <a:prstGeom prst="rect">
                            <a:avLst/>
                          </a:prstGeom>
                        </pic:spPr>
                      </pic:pic>
                    </a:graphicData>
                  </a:graphic>
                </wp:inline>
              </w:drawing>
            </w:r>
          </w:p>
        </w:tc>
      </w:tr>
      <w:tr w:rsidR="000C10E3" w14:paraId="5C7CF306" w14:textId="77777777">
        <w:trPr>
          <w:trHeight w:val="738"/>
        </w:trPr>
        <w:tc>
          <w:tcPr>
            <w:tcW w:w="6603" w:type="dxa"/>
          </w:tcPr>
          <w:p w14:paraId="555797A4" w14:textId="77777777" w:rsidR="000E2E95" w:rsidRPr="005669CE" w:rsidRDefault="00DB0A1C" w:rsidP="00CE74C2">
            <w:pPr>
              <w:pStyle w:val="TableParagraph"/>
              <w:spacing w:line="259" w:lineRule="auto"/>
              <w:ind w:left="107" w:right="200"/>
              <w:jc w:val="both"/>
            </w:pPr>
            <w:r w:rsidRPr="005669CE">
              <w:rPr>
                <w:lang w:val="fr-FR"/>
              </w:rPr>
              <w:t>Étape 5 : Placer la bandelette horizontalement sur la table, au-dessus du gobelet d’urine, afin que les produits chimiques ne se mélangent pas.</w:t>
            </w:r>
          </w:p>
        </w:tc>
        <w:tc>
          <w:tcPr>
            <w:tcW w:w="2748" w:type="dxa"/>
          </w:tcPr>
          <w:p w14:paraId="1C615169" w14:textId="77777777" w:rsidR="000E2E95" w:rsidRPr="005669CE" w:rsidRDefault="000E2E95" w:rsidP="00CE74C2">
            <w:pPr>
              <w:pStyle w:val="TableParagraph"/>
              <w:jc w:val="both"/>
              <w:rPr>
                <w:rFonts w:ascii="Times New Roman"/>
              </w:rPr>
            </w:pPr>
          </w:p>
        </w:tc>
      </w:tr>
      <w:tr w:rsidR="000C10E3" w14:paraId="56286F55" w14:textId="77777777">
        <w:trPr>
          <w:trHeight w:val="899"/>
        </w:trPr>
        <w:tc>
          <w:tcPr>
            <w:tcW w:w="6603" w:type="dxa"/>
          </w:tcPr>
          <w:p w14:paraId="40840AC4" w14:textId="77777777" w:rsidR="000E2E95" w:rsidRPr="005669CE" w:rsidRDefault="00DB0A1C" w:rsidP="00CE74C2">
            <w:pPr>
              <w:pStyle w:val="TableParagraph"/>
              <w:spacing w:line="259" w:lineRule="auto"/>
              <w:ind w:left="107" w:right="200"/>
              <w:jc w:val="both"/>
            </w:pPr>
            <w:r w:rsidRPr="005669CE">
              <w:rPr>
                <w:lang w:val="fr-FR"/>
              </w:rPr>
              <w:lastRenderedPageBreak/>
              <w:t>Étape 6 : Lire la bande entre </w:t>
            </w:r>
            <w:r w:rsidRPr="005669CE">
              <w:rPr>
                <w:b/>
                <w:bCs/>
                <w:lang w:val="fr-FR"/>
              </w:rPr>
              <w:t>1 et 2 minutes après l’avoir plongée</w:t>
            </w:r>
            <w:r w:rsidRPr="005669CE">
              <w:rPr>
                <w:lang w:val="fr-FR"/>
              </w:rPr>
              <w:t xml:space="preserve"> dans l’échantillon d’urine.</w:t>
            </w:r>
          </w:p>
        </w:tc>
        <w:tc>
          <w:tcPr>
            <w:tcW w:w="2748" w:type="dxa"/>
          </w:tcPr>
          <w:p w14:paraId="249DD606" w14:textId="77777777" w:rsidR="000E2E95" w:rsidRPr="005669CE" w:rsidRDefault="000E2E95" w:rsidP="00CE74C2">
            <w:pPr>
              <w:pStyle w:val="TableParagraph"/>
              <w:jc w:val="both"/>
              <w:rPr>
                <w:rFonts w:ascii="Times New Roman"/>
              </w:rPr>
            </w:pPr>
          </w:p>
        </w:tc>
      </w:tr>
    </w:tbl>
    <w:p w14:paraId="6843F0D5" w14:textId="77777777" w:rsidR="000E2E95" w:rsidRPr="005669CE" w:rsidRDefault="000E2E95" w:rsidP="00CE74C2">
      <w:pPr>
        <w:jc w:val="both"/>
        <w:rPr>
          <w:rFonts w:ascii="Times New Roman"/>
        </w:rPr>
        <w:sectPr w:rsidR="000E2E95" w:rsidRPr="005669CE"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03"/>
        <w:gridCol w:w="2748"/>
      </w:tblGrid>
      <w:tr w:rsidR="000C10E3" w14:paraId="70A5D6E3" w14:textId="77777777">
        <w:trPr>
          <w:trHeight w:val="3777"/>
        </w:trPr>
        <w:tc>
          <w:tcPr>
            <w:tcW w:w="6603" w:type="dxa"/>
          </w:tcPr>
          <w:p w14:paraId="117B1D3C" w14:textId="77777777" w:rsidR="000E2E95" w:rsidRPr="005669CE" w:rsidRDefault="00DB0A1C" w:rsidP="00CE74C2">
            <w:pPr>
              <w:pStyle w:val="TableParagraph"/>
              <w:spacing w:line="259" w:lineRule="auto"/>
              <w:ind w:left="107" w:right="200"/>
              <w:jc w:val="both"/>
            </w:pPr>
            <w:r w:rsidRPr="005669CE">
              <w:rPr>
                <w:lang w:val="fr-FR"/>
              </w:rPr>
              <w:t>Étape 7 : Faire correspondre la couleur de la bandelette avec le tableau des couleurs figurant sur l’étiquette du flacon et inscrire les résultats sur le formulaire. L’ordre de lecture sur le tableau correspond à l’ordre des résultats à saisir (voir ci-dessous).</w:t>
            </w:r>
          </w:p>
          <w:p w14:paraId="3B1D31F5" w14:textId="77777777" w:rsidR="000E2E95" w:rsidRPr="005669CE" w:rsidRDefault="00DB0A1C" w:rsidP="00CE74C2">
            <w:pPr>
              <w:pStyle w:val="TableParagraph"/>
              <w:spacing w:line="267" w:lineRule="exact"/>
              <w:ind w:left="107"/>
              <w:jc w:val="both"/>
            </w:pPr>
            <w:r w:rsidRPr="005669CE">
              <w:rPr>
                <w:lang w:val="fr-FR"/>
              </w:rPr>
              <w:t>Enregistrer</w:t>
            </w:r>
          </w:p>
          <w:p w14:paraId="6A124F74" w14:textId="77777777" w:rsidR="000E2E95" w:rsidRPr="005669CE" w:rsidRDefault="00DB0A1C" w:rsidP="00CE74C2">
            <w:pPr>
              <w:pStyle w:val="TableParagraph"/>
              <w:spacing w:before="181"/>
              <w:ind w:left="107"/>
              <w:jc w:val="both"/>
            </w:pPr>
            <w:r w:rsidRPr="005669CE">
              <w:rPr>
                <w:lang w:val="fr-FR"/>
              </w:rPr>
              <w:t>Écrire « 0 » si le résultat est négatif.</w:t>
            </w:r>
          </w:p>
          <w:p w14:paraId="5B7F11F8" w14:textId="77777777" w:rsidR="000E2E95" w:rsidRPr="005669CE" w:rsidRDefault="00DB0A1C" w:rsidP="00CE74C2">
            <w:pPr>
              <w:pStyle w:val="TableParagraph"/>
              <w:spacing w:before="142"/>
              <w:ind w:left="107"/>
              <w:jc w:val="both"/>
            </w:pPr>
            <w:r w:rsidRPr="005669CE">
              <w:rPr>
                <w:lang w:val="fr-FR"/>
              </w:rPr>
              <w:t>1= trace, non hémolysé</w:t>
            </w:r>
          </w:p>
          <w:p w14:paraId="34E14876" w14:textId="77777777" w:rsidR="000E2E95" w:rsidRPr="005669CE" w:rsidRDefault="00DB0A1C" w:rsidP="00CE74C2">
            <w:pPr>
              <w:pStyle w:val="TableParagraph"/>
              <w:spacing w:before="140"/>
              <w:ind w:left="107"/>
              <w:jc w:val="both"/>
            </w:pPr>
            <w:r w:rsidRPr="005669CE">
              <w:rPr>
                <w:lang w:val="fr-FR"/>
              </w:rPr>
              <w:t>2= trace hémolysée</w:t>
            </w:r>
          </w:p>
          <w:p w14:paraId="41A5A9E3" w14:textId="77777777" w:rsidR="000E2E95" w:rsidRPr="005669CE" w:rsidRDefault="00DB0A1C" w:rsidP="00CE74C2">
            <w:pPr>
              <w:pStyle w:val="TableParagraph"/>
              <w:spacing w:before="142"/>
              <w:ind w:left="107"/>
              <w:jc w:val="both"/>
            </w:pPr>
            <w:r w:rsidRPr="005669CE">
              <w:rPr>
                <w:lang w:val="fr-FR"/>
              </w:rPr>
              <w:t>3 = +</w:t>
            </w:r>
          </w:p>
          <w:p w14:paraId="0B734D33" w14:textId="77777777" w:rsidR="000E2E95" w:rsidRPr="005669CE" w:rsidRDefault="00DB0A1C" w:rsidP="00CE74C2">
            <w:pPr>
              <w:pStyle w:val="TableParagraph"/>
              <w:spacing w:before="142"/>
              <w:ind w:left="107"/>
              <w:jc w:val="both"/>
            </w:pPr>
            <w:r w:rsidRPr="005669CE">
              <w:rPr>
                <w:lang w:val="fr-FR"/>
              </w:rPr>
              <w:t>4 = ++</w:t>
            </w:r>
          </w:p>
          <w:p w14:paraId="616547EF" w14:textId="77777777" w:rsidR="000E2E95" w:rsidRPr="005669CE" w:rsidRDefault="00DB0A1C" w:rsidP="00CE74C2">
            <w:pPr>
              <w:pStyle w:val="TableParagraph"/>
              <w:spacing w:before="142"/>
              <w:ind w:left="107"/>
              <w:jc w:val="both"/>
            </w:pPr>
            <w:r w:rsidRPr="005669CE">
              <w:rPr>
                <w:lang w:val="fr-FR"/>
              </w:rPr>
              <w:t>5 = +++</w:t>
            </w:r>
          </w:p>
        </w:tc>
        <w:tc>
          <w:tcPr>
            <w:tcW w:w="2748" w:type="dxa"/>
          </w:tcPr>
          <w:p w14:paraId="058594B0" w14:textId="77777777" w:rsidR="000E2E95" w:rsidRPr="005669CE" w:rsidRDefault="00DB0A1C" w:rsidP="00CE74C2">
            <w:pPr>
              <w:pStyle w:val="TableParagraph"/>
              <w:ind w:left="104"/>
              <w:jc w:val="both"/>
              <w:rPr>
                <w:sz w:val="20"/>
              </w:rPr>
            </w:pPr>
            <w:r w:rsidRPr="005669CE">
              <w:rPr>
                <w:noProof/>
                <w:sz w:val="20"/>
              </w:rPr>
              <w:drawing>
                <wp:inline distT="0" distB="0" distL="0" distR="0" wp14:anchorId="6046C4D1" wp14:editId="15F96965">
                  <wp:extent cx="1430948" cy="873251"/>
                  <wp:effectExtent l="0" t="0" r="0" b="0"/>
                  <wp:docPr id="105" name="Image 105"/>
                  <wp:cNvGraphicFramePr/>
                  <a:graphic xmlns:a="http://schemas.openxmlformats.org/drawingml/2006/main">
                    <a:graphicData uri="http://schemas.openxmlformats.org/drawingml/2006/picture">
                      <pic:pic xmlns:pic="http://schemas.openxmlformats.org/drawingml/2006/picture">
                        <pic:nvPicPr>
                          <pic:cNvPr id="2101530853" name="Image 105"/>
                          <pic:cNvPicPr/>
                        </pic:nvPicPr>
                        <pic:blipFill>
                          <a:blip r:embed="rId26" cstate="print"/>
                          <a:stretch>
                            <a:fillRect/>
                          </a:stretch>
                        </pic:blipFill>
                        <pic:spPr>
                          <a:xfrm>
                            <a:off x="0" y="0"/>
                            <a:ext cx="1430948" cy="873251"/>
                          </a:xfrm>
                          <a:prstGeom prst="rect">
                            <a:avLst/>
                          </a:prstGeom>
                        </pic:spPr>
                      </pic:pic>
                    </a:graphicData>
                  </a:graphic>
                </wp:inline>
              </w:drawing>
            </w:r>
          </w:p>
        </w:tc>
      </w:tr>
      <w:tr w:rsidR="000C10E3" w14:paraId="4DA875BC" w14:textId="77777777">
        <w:trPr>
          <w:trHeight w:val="2083"/>
        </w:trPr>
        <w:tc>
          <w:tcPr>
            <w:tcW w:w="6603" w:type="dxa"/>
          </w:tcPr>
          <w:p w14:paraId="2531B016" w14:textId="77777777" w:rsidR="000E2E95" w:rsidRPr="005669CE" w:rsidRDefault="00DB0A1C" w:rsidP="00CE74C2">
            <w:pPr>
              <w:pStyle w:val="TableParagraph"/>
              <w:spacing w:before="1"/>
              <w:ind w:left="107"/>
              <w:jc w:val="both"/>
              <w:rPr>
                <w:b/>
              </w:rPr>
            </w:pPr>
            <w:r w:rsidRPr="005669CE">
              <w:rPr>
                <w:b/>
                <w:bCs/>
                <w:u w:val="single"/>
                <w:lang w:val="fr-FR"/>
              </w:rPr>
              <w:t>Remarque importante :</w:t>
            </w:r>
          </w:p>
          <w:p w14:paraId="7E3D0BF0" w14:textId="77777777" w:rsidR="000E2E95" w:rsidRPr="005669CE" w:rsidRDefault="00DB0A1C" w:rsidP="00CE74C2">
            <w:pPr>
              <w:pStyle w:val="TableParagraph"/>
              <w:numPr>
                <w:ilvl w:val="0"/>
                <w:numId w:val="5"/>
              </w:numPr>
              <w:tabs>
                <w:tab w:val="left" w:pos="467"/>
              </w:tabs>
              <w:spacing w:before="181" w:line="259" w:lineRule="auto"/>
              <w:ind w:right="205"/>
              <w:jc w:val="both"/>
            </w:pPr>
            <w:r w:rsidRPr="005669CE">
              <w:rPr>
                <w:lang w:val="fr-FR"/>
              </w:rPr>
              <w:t>NE PAS POSER LA BANDE SUR LE TABLEAU DES COULEURS, CAR CELA SALIRA CE DERNIER</w:t>
            </w:r>
          </w:p>
          <w:p w14:paraId="06FFEF20" w14:textId="77777777" w:rsidR="000E2E95" w:rsidRPr="005669CE" w:rsidRDefault="00DB0A1C" w:rsidP="00CE74C2">
            <w:pPr>
              <w:pStyle w:val="TableParagraph"/>
              <w:numPr>
                <w:ilvl w:val="0"/>
                <w:numId w:val="5"/>
              </w:numPr>
              <w:tabs>
                <w:tab w:val="left" w:pos="467"/>
              </w:tabs>
              <w:spacing w:line="259" w:lineRule="auto"/>
              <w:ind w:right="122"/>
              <w:jc w:val="both"/>
            </w:pPr>
            <w:r w:rsidRPr="005669CE">
              <w:rPr>
                <w:lang w:val="fr-FR"/>
              </w:rPr>
              <w:t>Il est extrêmement important de lire la bandelette 1 à 2 minutes après l’avoir trempée dans l’échantillon d’urine. Tout changement de couleur survenant après 2 minutes n’a aucune valeur diagnostique et doit être ignoré.</w:t>
            </w:r>
          </w:p>
        </w:tc>
        <w:tc>
          <w:tcPr>
            <w:tcW w:w="2748" w:type="dxa"/>
          </w:tcPr>
          <w:p w14:paraId="238558B2" w14:textId="77777777" w:rsidR="000E2E95" w:rsidRPr="005669CE" w:rsidRDefault="000E2E95" w:rsidP="00CE74C2">
            <w:pPr>
              <w:pStyle w:val="TableParagraph"/>
              <w:jc w:val="both"/>
              <w:rPr>
                <w:rFonts w:ascii="Times New Roman"/>
              </w:rPr>
            </w:pPr>
          </w:p>
        </w:tc>
      </w:tr>
    </w:tbl>
    <w:p w14:paraId="52B99BAA" w14:textId="77777777" w:rsidR="000E2E95" w:rsidRPr="005669CE" w:rsidRDefault="000E2E95" w:rsidP="00CE74C2">
      <w:pPr>
        <w:jc w:val="both"/>
        <w:rPr>
          <w:rFonts w:ascii="Times New Roman"/>
        </w:rPr>
        <w:sectPr w:rsidR="000E2E95" w:rsidRPr="005669CE" w:rsidSect="008622E9">
          <w:type w:val="continuous"/>
          <w:pgSz w:w="12240" w:h="15840"/>
          <w:pgMar w:top="1440" w:right="1077" w:bottom="1440" w:left="1077" w:header="720" w:footer="720" w:gutter="0"/>
          <w:cols w:space="720"/>
        </w:sectPr>
      </w:pPr>
    </w:p>
    <w:p w14:paraId="3595B7F4" w14:textId="77777777" w:rsidR="000E2E95" w:rsidRPr="005669CE" w:rsidRDefault="00DB0A1C" w:rsidP="00CE74C2">
      <w:pPr>
        <w:pStyle w:val="Heading1"/>
        <w:jc w:val="both"/>
      </w:pPr>
      <w:bookmarkStart w:id="78" w:name="_bookmark33"/>
      <w:bookmarkStart w:id="79" w:name="_Appendix_4:_Urine"/>
      <w:bookmarkStart w:id="80" w:name="_Toc181011893"/>
      <w:bookmarkEnd w:id="78"/>
      <w:bookmarkEnd w:id="79"/>
      <w:r w:rsidRPr="005669CE">
        <w:rPr>
          <w:color w:val="1F3863"/>
          <w:lang w:val="fr-FR"/>
        </w:rPr>
        <w:lastRenderedPageBreak/>
        <w:t>Annexe 4 : Mode opératoire normalisé pour la filtration de l’urine</w:t>
      </w:r>
      <w:bookmarkEnd w:id="80"/>
    </w:p>
    <w:p w14:paraId="4BBED465" w14:textId="77777777" w:rsidR="000E2E95" w:rsidRPr="005669CE" w:rsidRDefault="00DB0A1C" w:rsidP="00CE74C2">
      <w:pPr>
        <w:spacing w:before="159"/>
        <w:ind w:left="120"/>
        <w:jc w:val="both"/>
        <w:rPr>
          <w:i/>
        </w:rPr>
      </w:pPr>
      <w:r w:rsidRPr="005669CE">
        <w:rPr>
          <w:i/>
          <w:iCs/>
          <w:lang w:val="fr-FR"/>
        </w:rPr>
        <w:t xml:space="preserve">Diagnostic de : </w:t>
      </w:r>
      <w:proofErr w:type="spellStart"/>
      <w:r w:rsidRPr="005669CE">
        <w:rPr>
          <w:i/>
          <w:iCs/>
          <w:lang w:val="fr-FR"/>
        </w:rPr>
        <w:t>Schistosoma</w:t>
      </w:r>
      <w:proofErr w:type="spellEnd"/>
      <w:r w:rsidRPr="005669CE">
        <w:rPr>
          <w:i/>
          <w:iCs/>
          <w:lang w:val="fr-FR"/>
        </w:rPr>
        <w:t xml:space="preserve"> </w:t>
      </w:r>
      <w:proofErr w:type="spellStart"/>
      <w:r w:rsidRPr="005669CE">
        <w:rPr>
          <w:i/>
          <w:iCs/>
          <w:lang w:val="fr-FR"/>
        </w:rPr>
        <w:t>haematobium</w:t>
      </w:r>
      <w:proofErr w:type="spellEnd"/>
    </w:p>
    <w:p w14:paraId="72E70ED7" w14:textId="77777777" w:rsidR="000E2E95" w:rsidRPr="005669CE" w:rsidRDefault="00DB0A1C" w:rsidP="00341A0D">
      <w:pPr>
        <w:pStyle w:val="BodyText"/>
      </w:pPr>
      <w:r w:rsidRPr="005669CE">
        <w:rPr>
          <w:lang w:val="fr-FR"/>
        </w:rPr>
        <w:t>Tous les kits fabriqués sont fournis avec un mode d’emploi. Il est très important de suivre les instructions pour garantir la qualité des résultats.</w:t>
      </w:r>
    </w:p>
    <w:p w14:paraId="25313A61" w14:textId="77777777" w:rsidR="000E2E95" w:rsidRPr="005669CE" w:rsidRDefault="00DB0A1C" w:rsidP="00CE74C2">
      <w:pPr>
        <w:spacing w:before="159"/>
        <w:ind w:left="120"/>
        <w:jc w:val="both"/>
        <w:rPr>
          <w:b/>
        </w:rPr>
      </w:pPr>
      <w:r w:rsidRPr="005669CE">
        <w:rPr>
          <w:b/>
          <w:bCs/>
          <w:u w:val="single"/>
          <w:lang w:val="fr-FR"/>
        </w:rPr>
        <w:t>Précautions de sécurité</w:t>
      </w:r>
    </w:p>
    <w:p w14:paraId="6C9960D8" w14:textId="7CA77433" w:rsidR="000E2E95" w:rsidRPr="005669CE" w:rsidRDefault="006E42B7" w:rsidP="00CE74C2">
      <w:pPr>
        <w:pStyle w:val="ListParagraph"/>
        <w:numPr>
          <w:ilvl w:val="0"/>
          <w:numId w:val="4"/>
        </w:numPr>
        <w:tabs>
          <w:tab w:val="left" w:pos="289"/>
        </w:tabs>
        <w:spacing w:before="183"/>
        <w:ind w:left="289" w:hanging="169"/>
        <w:jc w:val="both"/>
      </w:pPr>
      <w:r w:rsidRPr="006E42B7">
        <w:rPr>
          <w:noProof/>
          <w:lang w:val="fr-FR"/>
        </w:rPr>
        <mc:AlternateContent>
          <mc:Choice Requires="wps">
            <w:drawing>
              <wp:anchor distT="45720" distB="45720" distL="114300" distR="114300" simplePos="0" relativeHeight="251664384" behindDoc="0" locked="0" layoutInCell="1" allowOverlap="1" wp14:anchorId="0A13F6A2" wp14:editId="098CAB2D">
                <wp:simplePos x="0" y="0"/>
                <wp:positionH relativeFrom="column">
                  <wp:posOffset>4612005</wp:posOffset>
                </wp:positionH>
                <wp:positionV relativeFrom="paragraph">
                  <wp:posOffset>241935</wp:posOffset>
                </wp:positionV>
                <wp:extent cx="962025" cy="1404620"/>
                <wp:effectExtent l="0" t="0" r="28575"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404620"/>
                        </a:xfrm>
                        <a:prstGeom prst="rect">
                          <a:avLst/>
                        </a:prstGeom>
                        <a:solidFill>
                          <a:srgbClr val="FFFFFF"/>
                        </a:solidFill>
                        <a:ln w="9525">
                          <a:solidFill>
                            <a:srgbClr val="000000"/>
                          </a:solidFill>
                          <a:miter lim="800000"/>
                          <a:headEnd/>
                          <a:tailEnd/>
                        </a:ln>
                      </wps:spPr>
                      <wps:txbx>
                        <w:txbxContent>
                          <w:p w14:paraId="54624B0E" w14:textId="64B23A84" w:rsidR="006E42B7" w:rsidRPr="006E42B7" w:rsidRDefault="006E42B7" w:rsidP="006E42B7">
                            <w:pPr>
                              <w:rPr>
                                <w:sz w:val="21"/>
                                <w:szCs w:val="21"/>
                                <w:lang w:val="fr-FR"/>
                              </w:rPr>
                            </w:pPr>
                            <w:r w:rsidRPr="006E42B7">
                              <w:rPr>
                                <w:sz w:val="21"/>
                                <w:szCs w:val="21"/>
                                <w:lang w:val="fr-FR"/>
                              </w:rPr>
                              <w:t>Petites pinces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A13F6A2" id="_x0000_t202" coordsize="21600,21600" o:spt="202" path="m,l,21600r21600,l21600,xe">
                <v:stroke joinstyle="miter"/>
                <v:path gradientshapeok="t" o:connecttype="rect"/>
              </v:shapetype>
              <v:shape id="Text Box 2" o:spid="_x0000_s1026" type="#_x0000_t202" style="position:absolute;left:0;text-align:left;margin-left:363.15pt;margin-top:19.05pt;width:75.7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">
                <v:textbox style="mso-fit-shape-to-text:t">
                  <w:txbxContent>
                    <w:p w14:paraId="54624B0E" w14:textId="64B23A84" w:rsidR="006E42B7" w:rsidRPr="006E42B7" w:rsidRDefault="006E42B7" w:rsidP="006E42B7">
                      <w:pPr>
                        <w:rPr>
                          <w:sz w:val="21"/>
                          <w:szCs w:val="21"/>
                          <w:lang w:val="fr-FR"/>
                        </w:rPr>
                      </w:pPr>
                      <w:r w:rsidRPr="006E42B7">
                        <w:rPr>
                          <w:sz w:val="21"/>
                          <w:szCs w:val="21"/>
                          <w:lang w:val="fr-FR"/>
                        </w:rPr>
                        <w:t>Petites pinces</w:t>
                      </w:r>
                    </w:p>
                  </w:txbxContent>
                </v:textbox>
                <w10:wrap type="square"/>
              </v:shape>
            </w:pict>
          </mc:Fallback>
        </mc:AlternateContent>
      </w:r>
      <w:r w:rsidR="00DB0A1C" w:rsidRPr="005669CE">
        <w:rPr>
          <w:noProof/>
        </w:rPr>
        <w:drawing>
          <wp:anchor distT="0" distB="0" distL="0" distR="0" simplePos="0" relativeHeight="251661312" behindDoc="0" locked="0" layoutInCell="1" allowOverlap="1" wp14:anchorId="1C4D1339" wp14:editId="5C7C85A3">
            <wp:simplePos x="0" y="0"/>
            <wp:positionH relativeFrom="page">
              <wp:posOffset>4603750</wp:posOffset>
            </wp:positionH>
            <wp:positionV relativeFrom="paragraph">
              <wp:posOffset>83820</wp:posOffset>
            </wp:positionV>
            <wp:extent cx="2832100" cy="3234689"/>
            <wp:effectExtent l="0" t="0" r="6350" b="4445"/>
            <wp:wrapNone/>
            <wp:docPr id="106" name="Image 106" descr="A syringe and tweezers  Description automatically generated"/>
            <wp:cNvGraphicFramePr/>
            <a:graphic xmlns:a="http://schemas.openxmlformats.org/drawingml/2006/main">
              <a:graphicData uri="http://schemas.openxmlformats.org/drawingml/2006/picture">
                <pic:pic xmlns:pic="http://schemas.openxmlformats.org/drawingml/2006/picture">
                  <pic:nvPicPr>
                    <pic:cNvPr id="1913729363" name="Image 106" descr="A syringe and tweezers  Description automatically generated"/>
                    <pic:cNvPicPr/>
                  </pic:nvPicPr>
                  <pic:blipFill>
                    <a:blip r:embed="rId27" cstate="print"/>
                    <a:stretch>
                      <a:fillRect/>
                    </a:stretch>
                  </pic:blipFill>
                  <pic:spPr>
                    <a:xfrm>
                      <a:off x="0" y="0"/>
                      <a:ext cx="2832100" cy="3234689"/>
                    </a:xfrm>
                    <a:prstGeom prst="rect">
                      <a:avLst/>
                    </a:prstGeom>
                  </pic:spPr>
                </pic:pic>
              </a:graphicData>
            </a:graphic>
          </wp:anchor>
        </w:drawing>
      </w:r>
      <w:r w:rsidR="00DB0A1C" w:rsidRPr="005669CE">
        <w:rPr>
          <w:lang w:val="fr-FR"/>
        </w:rPr>
        <w:t>L’urine doit être considérée comme potentiellement infectieuse.</w:t>
      </w:r>
    </w:p>
    <w:p w14:paraId="532534DB" w14:textId="3D159175" w:rsidR="000E2E95" w:rsidRPr="005669CE" w:rsidRDefault="00DB0A1C" w:rsidP="00CE74C2">
      <w:pPr>
        <w:pStyle w:val="ListParagraph"/>
        <w:numPr>
          <w:ilvl w:val="0"/>
          <w:numId w:val="4"/>
        </w:numPr>
        <w:tabs>
          <w:tab w:val="left" w:pos="289"/>
        </w:tabs>
        <w:spacing w:before="142" w:line="256" w:lineRule="auto"/>
        <w:ind w:right="5810" w:firstLine="0"/>
        <w:jc w:val="both"/>
      </w:pPr>
      <w:r w:rsidRPr="005669CE">
        <w:rPr>
          <w:lang w:val="fr-FR"/>
        </w:rPr>
        <w:t>Il convient de porter des gants et des blouses de laboratoire à chaque manipulation des échantillons d’urine.</w:t>
      </w:r>
    </w:p>
    <w:p w14:paraId="55698F19" w14:textId="263AB297" w:rsidR="000E2E95" w:rsidRPr="005669CE" w:rsidRDefault="006E42B7" w:rsidP="00CE74C2">
      <w:pPr>
        <w:pStyle w:val="ListParagraph"/>
        <w:numPr>
          <w:ilvl w:val="0"/>
          <w:numId w:val="4"/>
        </w:numPr>
        <w:tabs>
          <w:tab w:val="left" w:pos="289"/>
        </w:tabs>
        <w:spacing w:before="124" w:line="259" w:lineRule="auto"/>
        <w:ind w:right="5732" w:firstLine="0"/>
        <w:jc w:val="both"/>
      </w:pPr>
      <w:r w:rsidRPr="006E42B7">
        <w:rPr>
          <w:noProof/>
          <w:lang w:val="fr-FR"/>
        </w:rPr>
        <mc:AlternateContent>
          <mc:Choice Requires="wps">
            <w:drawing>
              <wp:anchor distT="45720" distB="45720" distL="114300" distR="114300" simplePos="0" relativeHeight="251666432" behindDoc="0" locked="0" layoutInCell="1" allowOverlap="1" wp14:anchorId="276869D5" wp14:editId="534F2659">
                <wp:simplePos x="0" y="0"/>
                <wp:positionH relativeFrom="column">
                  <wp:posOffset>4602480</wp:posOffset>
                </wp:positionH>
                <wp:positionV relativeFrom="paragraph">
                  <wp:posOffset>33655</wp:posOffset>
                </wp:positionV>
                <wp:extent cx="552450" cy="1404620"/>
                <wp:effectExtent l="0" t="0" r="19050" b="12065"/>
                <wp:wrapSquare wrapText="bothSides"/>
                <wp:docPr id="7778236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404620"/>
                        </a:xfrm>
                        <a:prstGeom prst="rect">
                          <a:avLst/>
                        </a:prstGeom>
                        <a:solidFill>
                          <a:srgbClr val="FFFFFF"/>
                        </a:solidFill>
                        <a:ln w="9525">
                          <a:solidFill>
                            <a:srgbClr val="000000"/>
                          </a:solidFill>
                          <a:miter lim="800000"/>
                          <a:headEnd/>
                          <a:tailEnd/>
                        </a:ln>
                      </wps:spPr>
                      <wps:txbx>
                        <w:txbxContent>
                          <w:p w14:paraId="62A21943" w14:textId="2C2016FB" w:rsidR="006E42B7" w:rsidRPr="006E42B7" w:rsidRDefault="006E42B7" w:rsidP="006E42B7">
                            <w:pPr>
                              <w:rPr>
                                <w:sz w:val="21"/>
                                <w:szCs w:val="21"/>
                                <w:lang w:val="fr-FR"/>
                              </w:rPr>
                            </w:pPr>
                            <w:r w:rsidRPr="006E42B7">
                              <w:rPr>
                                <w:sz w:val="21"/>
                                <w:szCs w:val="21"/>
                                <w:lang w:val="fr-FR"/>
                              </w:rPr>
                              <w:t>Papier filtre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6869D5" id="_x0000_s1027" type="#_x0000_t202" style="position:absolute;left:0;text-align:left;margin-left:362.4pt;margin-top:2.65pt;width:43.5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">
                <v:textbox style="mso-fit-shape-to-text:t">
                  <w:txbxContent>
                    <w:p w14:paraId="62A21943" w14:textId="2C2016FB" w:rsidR="006E42B7" w:rsidRPr="006E42B7" w:rsidRDefault="006E42B7" w:rsidP="006E42B7">
                      <w:pPr>
                        <w:rPr>
                          <w:sz w:val="21"/>
                          <w:szCs w:val="21"/>
                          <w:lang w:val="fr-FR"/>
                        </w:rPr>
                      </w:pPr>
                      <w:r w:rsidRPr="006E42B7">
                        <w:rPr>
                          <w:sz w:val="21"/>
                          <w:szCs w:val="21"/>
                          <w:lang w:val="fr-FR"/>
                        </w:rPr>
                        <w:t>Papier filtre</w:t>
                      </w:r>
                    </w:p>
                  </w:txbxContent>
                </v:textbox>
                <w10:wrap type="square"/>
              </v:shape>
            </w:pict>
          </mc:Fallback>
        </mc:AlternateContent>
      </w:r>
      <w:r w:rsidR="00DB0A1C" w:rsidRPr="005669CE">
        <w:rPr>
          <w:lang w:val="fr-FR"/>
        </w:rPr>
        <w:t>Les plans de travail, instruments et équipements doivent être désinfectés régulièrement à l’aide de désinfectants après chaque utilisation.</w:t>
      </w:r>
    </w:p>
    <w:p w14:paraId="4DA38E3E" w14:textId="4829515E" w:rsidR="000E2E95" w:rsidRPr="005669CE" w:rsidRDefault="00DB0A1C" w:rsidP="00CE74C2">
      <w:pPr>
        <w:pStyle w:val="ListParagraph"/>
        <w:numPr>
          <w:ilvl w:val="0"/>
          <w:numId w:val="4"/>
        </w:numPr>
        <w:tabs>
          <w:tab w:val="left" w:pos="289"/>
        </w:tabs>
        <w:spacing w:before="121" w:line="256" w:lineRule="auto"/>
        <w:ind w:right="5675" w:firstLine="0"/>
        <w:jc w:val="both"/>
      </w:pPr>
      <w:r w:rsidRPr="005669CE">
        <w:rPr>
          <w:lang w:val="fr-FR"/>
        </w:rPr>
        <w:t>Les matières contaminées par des déchets infectieux doivent être désinfectées avant d’être éliminées.</w:t>
      </w:r>
    </w:p>
    <w:p w14:paraId="1694CA66" w14:textId="3F21B3D3" w:rsidR="000E2E95" w:rsidRPr="005669CE" w:rsidRDefault="006E42B7" w:rsidP="00CE74C2">
      <w:pPr>
        <w:pStyle w:val="ListParagraph"/>
        <w:numPr>
          <w:ilvl w:val="0"/>
          <w:numId w:val="4"/>
        </w:numPr>
        <w:tabs>
          <w:tab w:val="left" w:pos="289"/>
        </w:tabs>
        <w:spacing w:before="124" w:line="259" w:lineRule="auto"/>
        <w:ind w:right="5966" w:firstLine="0"/>
        <w:jc w:val="both"/>
      </w:pPr>
      <w:r w:rsidRPr="006E42B7">
        <w:rPr>
          <w:noProof/>
          <w:lang w:val="fr-FR"/>
        </w:rPr>
        <mc:AlternateContent>
          <mc:Choice Requires="wps">
            <w:drawing>
              <wp:anchor distT="45720" distB="45720" distL="114300" distR="114300" simplePos="0" relativeHeight="251670528" behindDoc="0" locked="0" layoutInCell="1" allowOverlap="1" wp14:anchorId="6A39A43C" wp14:editId="6C51902F">
                <wp:simplePos x="0" y="0"/>
                <wp:positionH relativeFrom="column">
                  <wp:posOffset>5888355</wp:posOffset>
                </wp:positionH>
                <wp:positionV relativeFrom="paragraph">
                  <wp:posOffset>358140</wp:posOffset>
                </wp:positionV>
                <wp:extent cx="790575" cy="1404620"/>
                <wp:effectExtent l="0" t="0" r="28575" b="14605"/>
                <wp:wrapSquare wrapText="bothSides"/>
                <wp:docPr id="966358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1404620"/>
                        </a:xfrm>
                        <a:prstGeom prst="rect">
                          <a:avLst/>
                        </a:prstGeom>
                        <a:solidFill>
                          <a:srgbClr val="FFFFFF"/>
                        </a:solidFill>
                        <a:ln w="9525">
                          <a:solidFill>
                            <a:srgbClr val="000000"/>
                          </a:solidFill>
                          <a:miter lim="800000"/>
                          <a:headEnd/>
                          <a:tailEnd/>
                        </a:ln>
                      </wps:spPr>
                      <wps:txbx>
                        <w:txbxContent>
                          <w:p w14:paraId="04D0A661" w14:textId="26A7494F" w:rsidR="006E42B7" w:rsidRPr="006E42B7" w:rsidRDefault="006E42B7" w:rsidP="006E42B7">
                            <w:pPr>
                              <w:rPr>
                                <w:lang w:val="fr-FR"/>
                              </w:rPr>
                            </w:pPr>
                            <w:r w:rsidRPr="006E42B7">
                              <w:rPr>
                                <w:lang w:val="fr-FR"/>
                              </w:rPr>
                              <w:t>Seringue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39A43C" id="_x0000_s1028" type="#_x0000_t202" style="position:absolute;left:0;text-align:left;margin-left:463.65pt;margin-top:28.2pt;width:62.2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">
                <v:textbox style="mso-fit-shape-to-text:t">
                  <w:txbxContent>
                    <w:p w14:paraId="04D0A661" w14:textId="26A7494F" w:rsidR="006E42B7" w:rsidRPr="006E42B7" w:rsidRDefault="006E42B7" w:rsidP="006E42B7">
                      <w:pPr>
                        <w:rPr>
                          <w:lang w:val="fr-FR"/>
                        </w:rPr>
                      </w:pPr>
                      <w:r w:rsidRPr="006E42B7">
                        <w:rPr>
                          <w:lang w:val="fr-FR"/>
                        </w:rPr>
                        <w:t>Seringue</w:t>
                      </w:r>
                    </w:p>
                  </w:txbxContent>
                </v:textbox>
                <w10:wrap type="square"/>
              </v:shape>
            </w:pict>
          </mc:Fallback>
        </mc:AlternateContent>
      </w:r>
      <w:r w:rsidRPr="006E42B7">
        <w:rPr>
          <w:noProof/>
          <w:lang w:val="fr-FR"/>
        </w:rPr>
        <mc:AlternateContent>
          <mc:Choice Requires="wps">
            <w:drawing>
              <wp:anchor distT="45720" distB="45720" distL="114300" distR="114300" simplePos="0" relativeHeight="251668480" behindDoc="0" locked="0" layoutInCell="1" allowOverlap="1" wp14:anchorId="2FD84497" wp14:editId="701A25B0">
                <wp:simplePos x="0" y="0"/>
                <wp:positionH relativeFrom="column">
                  <wp:posOffset>4868545</wp:posOffset>
                </wp:positionH>
                <wp:positionV relativeFrom="paragraph">
                  <wp:posOffset>120015</wp:posOffset>
                </wp:positionV>
                <wp:extent cx="847725" cy="1404620"/>
                <wp:effectExtent l="0" t="0" r="28575" b="22860"/>
                <wp:wrapSquare wrapText="bothSides"/>
                <wp:docPr id="13692788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solidFill>
                          <a:srgbClr val="FFFFFF"/>
                        </a:solidFill>
                        <a:ln w="9525">
                          <a:solidFill>
                            <a:srgbClr val="000000"/>
                          </a:solidFill>
                          <a:miter lim="800000"/>
                          <a:headEnd/>
                          <a:tailEnd/>
                        </a:ln>
                      </wps:spPr>
                      <wps:txbx>
                        <w:txbxContent>
                          <w:p w14:paraId="00BDB11A" w14:textId="5EDAF481" w:rsidR="006E42B7" w:rsidRPr="006E42B7" w:rsidRDefault="006E42B7" w:rsidP="006E42B7">
                            <w:pPr>
                              <w:rPr>
                                <w:sz w:val="21"/>
                                <w:szCs w:val="21"/>
                                <w:lang w:val="fr-FR"/>
                              </w:rPr>
                            </w:pPr>
                            <w:r w:rsidRPr="006E42B7">
                              <w:rPr>
                                <w:sz w:val="21"/>
                                <w:szCs w:val="21"/>
                                <w:lang w:val="fr-FR"/>
                              </w:rPr>
                              <w:t>Porte-filtre (3 pièces)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D84497" id="_x0000_s1029" type="#_x0000_t202" style="position:absolute;left:0;text-align:left;margin-left:383.35pt;margin-top:9.45pt;width:66.75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">
                <v:textbox style="mso-fit-shape-to-text:t">
                  <w:txbxContent>
                    <w:p w14:paraId="00BDB11A" w14:textId="5EDAF481" w:rsidR="006E42B7" w:rsidRPr="006E42B7" w:rsidRDefault="006E42B7" w:rsidP="006E42B7">
                      <w:pPr>
                        <w:rPr>
                          <w:sz w:val="21"/>
                          <w:szCs w:val="21"/>
                          <w:lang w:val="fr-FR"/>
                        </w:rPr>
                      </w:pPr>
                      <w:r w:rsidRPr="006E42B7">
                        <w:rPr>
                          <w:sz w:val="21"/>
                          <w:szCs w:val="21"/>
                          <w:lang w:val="fr-FR"/>
                        </w:rPr>
                        <w:t>Porte-filtre (3 pièces)</w:t>
                      </w:r>
                    </w:p>
                  </w:txbxContent>
                </v:textbox>
                <w10:wrap type="square"/>
              </v:shape>
            </w:pict>
          </mc:Fallback>
        </mc:AlternateContent>
      </w:r>
      <w:r w:rsidR="00DB0A1C" w:rsidRPr="005669CE">
        <w:rPr>
          <w:lang w:val="fr-FR"/>
        </w:rPr>
        <w:t>Il est interdit de boire ou de manger pendant les procédures de laboratoire.</w:t>
      </w:r>
    </w:p>
    <w:p w14:paraId="652577C8" w14:textId="373AF646" w:rsidR="000E2E95" w:rsidRPr="005669CE" w:rsidRDefault="00DB0A1C" w:rsidP="00CE74C2">
      <w:pPr>
        <w:pStyle w:val="ListParagraph"/>
        <w:numPr>
          <w:ilvl w:val="0"/>
          <w:numId w:val="4"/>
        </w:numPr>
        <w:tabs>
          <w:tab w:val="left" w:pos="289"/>
        </w:tabs>
        <w:spacing w:before="120" w:line="259" w:lineRule="auto"/>
        <w:ind w:right="5493" w:firstLine="0"/>
        <w:jc w:val="both"/>
      </w:pPr>
      <w:r w:rsidRPr="005669CE">
        <w:rPr>
          <w:lang w:val="fr-FR"/>
        </w:rPr>
        <w:t>Il convient d’utiliser un ou plusieurs désinfectant(s) pour éliminer les récipients d’échantillons contaminés et pour nettoyer les plans de travail.</w:t>
      </w:r>
    </w:p>
    <w:p w14:paraId="69710D7E" w14:textId="57036D86" w:rsidR="000E2E95" w:rsidRPr="005669CE" w:rsidRDefault="00DB0A1C" w:rsidP="00CE74C2">
      <w:pPr>
        <w:pStyle w:val="ListParagraph"/>
        <w:numPr>
          <w:ilvl w:val="0"/>
          <w:numId w:val="4"/>
        </w:numPr>
        <w:tabs>
          <w:tab w:val="left" w:pos="289"/>
        </w:tabs>
        <w:spacing w:before="119" w:line="259" w:lineRule="auto"/>
        <w:ind w:right="5619" w:firstLine="0"/>
        <w:jc w:val="both"/>
      </w:pPr>
      <w:r w:rsidRPr="005669CE">
        <w:rPr>
          <w:lang w:val="fr-FR"/>
        </w:rPr>
        <w:t>Les récipients d’échantillons utilisés doivent être désinfectés avant le lavage</w:t>
      </w:r>
    </w:p>
    <w:p w14:paraId="311F92CF" w14:textId="77777777" w:rsidR="000E2E95" w:rsidRPr="006E42B7" w:rsidRDefault="000E2E95" w:rsidP="00341A0D">
      <w:pPr>
        <w:pStyle w:val="BodyText"/>
        <w:rPr>
          <w:sz w:val="12"/>
          <w:szCs w:val="12"/>
        </w:rPr>
      </w:pPr>
    </w:p>
    <w:p w14:paraId="234FE897" w14:textId="77777777" w:rsidR="000E2E95" w:rsidRPr="006E42B7" w:rsidRDefault="000E2E95" w:rsidP="00341A0D">
      <w:pPr>
        <w:pStyle w:val="BodyText"/>
        <w:rPr>
          <w:sz w:val="12"/>
          <w:szCs w:val="12"/>
        </w:rPr>
      </w:pPr>
    </w:p>
    <w:p w14:paraId="4B9AB715" w14:textId="77777777" w:rsidR="000E2E95" w:rsidRPr="005669CE" w:rsidRDefault="00DB0A1C" w:rsidP="00CE74C2">
      <w:pPr>
        <w:ind w:left="120"/>
        <w:jc w:val="both"/>
        <w:rPr>
          <w:b/>
        </w:rPr>
      </w:pPr>
      <w:r w:rsidRPr="005669CE">
        <w:rPr>
          <w:b/>
          <w:bCs/>
          <w:u w:val="single"/>
          <w:lang w:val="fr-FR"/>
        </w:rPr>
        <w:t>Équipement pour la filtration de l’urine :</w:t>
      </w:r>
    </w:p>
    <w:p w14:paraId="096E6C63" w14:textId="77777777" w:rsidR="000E2E95" w:rsidRPr="005669CE" w:rsidRDefault="00DB0A1C" w:rsidP="00CE74C2">
      <w:pPr>
        <w:pStyle w:val="ListParagraph"/>
        <w:numPr>
          <w:ilvl w:val="0"/>
          <w:numId w:val="4"/>
        </w:numPr>
        <w:tabs>
          <w:tab w:val="left" w:pos="289"/>
        </w:tabs>
        <w:spacing w:before="180"/>
        <w:ind w:left="289" w:hanging="169"/>
        <w:jc w:val="both"/>
      </w:pPr>
      <w:r w:rsidRPr="005669CE">
        <w:rPr>
          <w:lang w:val="fr-FR"/>
        </w:rPr>
        <w:t>Pots d’urine (250 ml), réutilisables, avec échantillon d’urine fraîche</w:t>
      </w:r>
    </w:p>
    <w:p w14:paraId="6C40B794" w14:textId="77777777" w:rsidR="000E2E95" w:rsidRPr="005669CE" w:rsidRDefault="00DB0A1C" w:rsidP="00CE74C2">
      <w:pPr>
        <w:pStyle w:val="ListParagraph"/>
        <w:numPr>
          <w:ilvl w:val="0"/>
          <w:numId w:val="4"/>
        </w:numPr>
        <w:tabs>
          <w:tab w:val="left" w:pos="289"/>
        </w:tabs>
        <w:spacing w:before="183"/>
        <w:ind w:left="289" w:hanging="169"/>
        <w:jc w:val="both"/>
      </w:pPr>
      <w:r w:rsidRPr="005669CE">
        <w:rPr>
          <w:lang w:val="fr-FR"/>
        </w:rPr>
        <w:t xml:space="preserve">Porte-filtre </w:t>
      </w:r>
      <w:proofErr w:type="spellStart"/>
      <w:r w:rsidRPr="005669CE">
        <w:rPr>
          <w:lang w:val="fr-FR"/>
        </w:rPr>
        <w:t>Swinnex</w:t>
      </w:r>
      <w:proofErr w:type="spellEnd"/>
      <w:r w:rsidRPr="005669CE">
        <w:rPr>
          <w:lang w:val="fr-FR"/>
        </w:rPr>
        <w:t>, réutilisable</w:t>
      </w:r>
    </w:p>
    <w:p w14:paraId="09CF89A7" w14:textId="77777777" w:rsidR="000E2E95" w:rsidRPr="005669CE" w:rsidRDefault="00DB0A1C" w:rsidP="00CE74C2">
      <w:pPr>
        <w:pStyle w:val="ListParagraph"/>
        <w:numPr>
          <w:ilvl w:val="0"/>
          <w:numId w:val="4"/>
        </w:numPr>
        <w:tabs>
          <w:tab w:val="left" w:pos="289"/>
        </w:tabs>
        <w:spacing w:before="180"/>
        <w:ind w:left="289" w:hanging="169"/>
        <w:jc w:val="both"/>
      </w:pPr>
      <w:r w:rsidRPr="005669CE">
        <w:rPr>
          <w:lang w:val="fr-FR"/>
        </w:rPr>
        <w:t>Petites pinces/Forceps, réutilisables</w:t>
      </w:r>
    </w:p>
    <w:p w14:paraId="79E079E5" w14:textId="77777777" w:rsidR="000E2E95" w:rsidRPr="005669CE" w:rsidRDefault="00DB0A1C" w:rsidP="00CE74C2">
      <w:pPr>
        <w:pStyle w:val="ListParagraph"/>
        <w:numPr>
          <w:ilvl w:val="0"/>
          <w:numId w:val="4"/>
        </w:numPr>
        <w:tabs>
          <w:tab w:val="left" w:pos="289"/>
        </w:tabs>
        <w:spacing w:before="181"/>
        <w:ind w:left="289" w:hanging="169"/>
        <w:jc w:val="both"/>
      </w:pPr>
      <w:r w:rsidRPr="005669CE">
        <w:rPr>
          <w:lang w:val="fr-FR"/>
        </w:rPr>
        <w:t>Seringue, plastique, 10 ml, réutilisable</w:t>
      </w:r>
    </w:p>
    <w:p w14:paraId="33B1492B" w14:textId="3927BD52" w:rsidR="000E2E95" w:rsidRPr="005669CE" w:rsidRDefault="00DB0A1C" w:rsidP="00CE74C2">
      <w:pPr>
        <w:pStyle w:val="ListParagraph"/>
        <w:numPr>
          <w:ilvl w:val="0"/>
          <w:numId w:val="4"/>
        </w:numPr>
        <w:tabs>
          <w:tab w:val="left" w:pos="289"/>
        </w:tabs>
        <w:spacing w:before="182"/>
        <w:ind w:left="289" w:hanging="169"/>
        <w:jc w:val="both"/>
      </w:pPr>
      <w:r w:rsidRPr="005669CE">
        <w:rPr>
          <w:lang w:val="fr-FR"/>
        </w:rPr>
        <w:t xml:space="preserve">Filtre de membrane </w:t>
      </w:r>
      <w:proofErr w:type="spellStart"/>
      <w:r w:rsidRPr="005669CE">
        <w:rPr>
          <w:lang w:val="fr-FR"/>
        </w:rPr>
        <w:t>Nuclepore</w:t>
      </w:r>
      <w:proofErr w:type="spellEnd"/>
      <w:r w:rsidRPr="005669CE">
        <w:rPr>
          <w:lang w:val="fr-FR"/>
        </w:rPr>
        <w:t>, 13 mm de diamètre et taille des pores : 12 µm à 25 µm</w:t>
      </w:r>
    </w:p>
    <w:p w14:paraId="3350BD94" w14:textId="77777777" w:rsidR="000E2E95" w:rsidRPr="005669CE" w:rsidRDefault="00DB0A1C" w:rsidP="00CE74C2">
      <w:pPr>
        <w:pStyle w:val="ListParagraph"/>
        <w:numPr>
          <w:ilvl w:val="0"/>
          <w:numId w:val="4"/>
        </w:numPr>
        <w:tabs>
          <w:tab w:val="left" w:pos="289"/>
        </w:tabs>
        <w:spacing w:before="181"/>
        <w:ind w:left="289" w:hanging="169"/>
        <w:jc w:val="both"/>
      </w:pPr>
      <w:r w:rsidRPr="005669CE">
        <w:rPr>
          <w:lang w:val="fr-FR"/>
        </w:rPr>
        <w:t>Préparations microscopiques en verre, réutilisables</w:t>
      </w:r>
    </w:p>
    <w:p w14:paraId="3B85B121" w14:textId="77777777" w:rsidR="000E2E95" w:rsidRPr="005669CE" w:rsidRDefault="00DB0A1C" w:rsidP="00CE74C2">
      <w:pPr>
        <w:pStyle w:val="ListParagraph"/>
        <w:numPr>
          <w:ilvl w:val="0"/>
          <w:numId w:val="4"/>
        </w:numPr>
        <w:tabs>
          <w:tab w:val="left" w:pos="289"/>
        </w:tabs>
        <w:spacing w:before="182"/>
        <w:ind w:left="289" w:hanging="169"/>
        <w:jc w:val="both"/>
      </w:pPr>
      <w:r w:rsidRPr="005669CE">
        <w:rPr>
          <w:lang w:val="fr-FR"/>
        </w:rPr>
        <w:t>Iodine de Lugol (solution de 5 %)</w:t>
      </w:r>
    </w:p>
    <w:p w14:paraId="12E91B14" w14:textId="77777777" w:rsidR="000E2E95" w:rsidRPr="005669CE" w:rsidRDefault="00DB0A1C" w:rsidP="00CE74C2">
      <w:pPr>
        <w:pStyle w:val="ListParagraph"/>
        <w:numPr>
          <w:ilvl w:val="0"/>
          <w:numId w:val="4"/>
        </w:numPr>
        <w:tabs>
          <w:tab w:val="left" w:pos="289"/>
        </w:tabs>
        <w:spacing w:before="181"/>
        <w:ind w:left="289" w:hanging="169"/>
        <w:jc w:val="both"/>
      </w:pPr>
      <w:r w:rsidRPr="005669CE">
        <w:rPr>
          <w:lang w:val="fr-FR"/>
        </w:rPr>
        <w:t>Potentiellement : bandes de cellophane hydrophile d’une épaisseur de 30 à 50 µm, trempées dans du glycérol.</w:t>
      </w:r>
    </w:p>
    <w:p w14:paraId="13C08AD0" w14:textId="77777777" w:rsidR="000E2E95" w:rsidRPr="005669CE" w:rsidRDefault="000E2E95" w:rsidP="00CE74C2">
      <w:pPr>
        <w:jc w:val="both"/>
        <w:sectPr w:rsidR="000E2E95" w:rsidRPr="005669CE" w:rsidSect="008622E9">
          <w:pgSz w:w="12240" w:h="15840"/>
          <w:pgMar w:top="1440" w:right="1077" w:bottom="1440" w:left="1077" w:header="720" w:footer="720" w:gutter="0"/>
          <w:cols w:space="720"/>
        </w:sectPr>
      </w:pPr>
    </w:p>
    <w:p w14:paraId="5C99F80C" w14:textId="77777777" w:rsidR="000E2E95" w:rsidRPr="005669CE" w:rsidRDefault="00DB0A1C" w:rsidP="00CE74C2">
      <w:pPr>
        <w:spacing w:before="39"/>
        <w:ind w:left="120"/>
        <w:jc w:val="both"/>
        <w:rPr>
          <w:b/>
        </w:rPr>
      </w:pPr>
      <w:r w:rsidRPr="005669CE">
        <w:rPr>
          <w:b/>
          <w:bCs/>
          <w:u w:val="single"/>
          <w:lang w:val="fr-FR"/>
        </w:rPr>
        <w:lastRenderedPageBreak/>
        <w:t>Collecte des échantillons :</w:t>
      </w:r>
    </w:p>
    <w:p w14:paraId="19CDBDD4" w14:textId="77777777" w:rsidR="000E2E95" w:rsidRPr="005669CE" w:rsidRDefault="00DB0A1C" w:rsidP="00341A0D">
      <w:pPr>
        <w:pStyle w:val="BodyText"/>
      </w:pPr>
      <w:r w:rsidRPr="005669CE">
        <w:rPr>
          <w:lang w:val="fr-FR"/>
        </w:rPr>
        <w:t>Le nombre d’œufs dans l’urine varie tout au long de la journée, avec un maximum entre 10 et 14 heures. L’échantillon doit être prélevé dans cet intervalle et se composer d’un seul échantillon d’urine. Les œufs étant plus souvent présents à la fin d’un flux urinaire, il convient de prélever au moins 10 ml à la fin de la miction</w:t>
      </w:r>
    </w:p>
    <w:p w14:paraId="04F81CDA" w14:textId="77777777" w:rsidR="000E2E95" w:rsidRPr="005669CE" w:rsidRDefault="00DB0A1C" w:rsidP="00341A0D">
      <w:pPr>
        <w:pStyle w:val="BodyText"/>
      </w:pPr>
      <w:r w:rsidRPr="005669CE">
        <w:rPr>
          <w:lang w:val="fr-FR"/>
        </w:rPr>
        <w:t>(</w:t>
      </w:r>
      <w:proofErr w:type="gramStart"/>
      <w:r w:rsidRPr="005669CE">
        <w:rPr>
          <w:lang w:val="fr-FR"/>
        </w:rPr>
        <w:t>urine</w:t>
      </w:r>
      <w:proofErr w:type="gramEnd"/>
      <w:r w:rsidRPr="005669CE">
        <w:rPr>
          <w:lang w:val="fr-FR"/>
        </w:rPr>
        <w:t xml:space="preserve"> terminale). Le moyen le plus simple de garantir un échantillon d’urine terminal est de demander aux individus d’essayer de remplir un grand pot, par exemple 250 ml. À noter que certains enfants, en particulier ceux qui sont fortement infectés par la schistosomiase, peuvent ne pas être en mesure de fournir 10 ml d’urine. </w:t>
      </w:r>
      <w:r w:rsidRPr="005669CE">
        <w:rPr>
          <w:b/>
          <w:bCs/>
          <w:lang w:val="fr-FR"/>
        </w:rPr>
        <w:t xml:space="preserve">Ne pas rejeter ces petits échantillons, mais noter le volume (ml) d’urine fourni. </w:t>
      </w:r>
      <w:r w:rsidRPr="005669CE">
        <w:rPr>
          <w:lang w:val="fr-FR"/>
        </w:rPr>
        <w:t>Les échantillons doivent être examinés dès que possible après le prélèvement, car les œufs peuvent éclore et devenir invisibles, ou des cristaux peuvent se former, ce qui rend le diagnostic plus difficile. Si les échantillons ne peuvent pas être examinés le jour même, les conserver au réfrigérateur.</w:t>
      </w:r>
    </w:p>
    <w:p w14:paraId="3D777877" w14:textId="77777777" w:rsidR="000E2E95" w:rsidRPr="005669CE" w:rsidRDefault="000E2E95" w:rsidP="00341A0D">
      <w:pPr>
        <w:pStyle w:val="BodyText"/>
      </w:pPr>
    </w:p>
    <w:p w14:paraId="2B553996" w14:textId="77777777" w:rsidR="000E2E95" w:rsidRPr="005669CE" w:rsidRDefault="000E2E95" w:rsidP="00341A0D">
      <w:pPr>
        <w:pStyle w:val="BodyText"/>
      </w:pPr>
    </w:p>
    <w:p w14:paraId="7F8EE67C" w14:textId="77777777" w:rsidR="000E2E95" w:rsidRPr="005669CE" w:rsidRDefault="00DB0A1C" w:rsidP="00341A0D">
      <w:pPr>
        <w:pStyle w:val="BodyText"/>
      </w:pPr>
      <w:r w:rsidRPr="005669CE">
        <w:rPr>
          <w:b/>
          <w:bCs/>
          <w:lang w:val="fr-FR"/>
        </w:rPr>
        <w:t xml:space="preserve">REMARQUE IMPORTANTE : </w:t>
      </w:r>
      <w:r w:rsidRPr="00FE4D53">
        <w:rPr>
          <w:lang w:val="fr-FR"/>
        </w:rPr>
        <w:t>Pour augmenter le volume d’urine fourni lors du prélèvement, il est conseillé de promouvoir la consommation de liquides et l’exercice physique avant la miction (p. ex., donner 2 verres d’eau aux enfants, une heure avant le prélèvement d’urine, et demander aux enfants de pratiquer 10 minutes d’exercice) (</w:t>
      </w:r>
      <w:proofErr w:type="spellStart"/>
      <w:r w:rsidRPr="00FE4D53">
        <w:rPr>
          <w:lang w:val="fr-FR"/>
        </w:rPr>
        <w:t>Doehring</w:t>
      </w:r>
      <w:proofErr w:type="spellEnd"/>
      <w:r w:rsidRPr="005669CE">
        <w:rPr>
          <w:b/>
          <w:bCs/>
          <w:lang w:val="fr-FR"/>
        </w:rPr>
        <w:t xml:space="preserve"> </w:t>
      </w:r>
      <w:r w:rsidRPr="005669CE">
        <w:rPr>
          <w:lang w:val="fr-FR"/>
        </w:rPr>
        <w:t>et al. 1983).</w:t>
      </w:r>
    </w:p>
    <w:p w14:paraId="282D2FB0" w14:textId="77777777" w:rsidR="000E2E95" w:rsidRPr="005669CE" w:rsidRDefault="000E2E95" w:rsidP="00341A0D">
      <w:pPr>
        <w:pStyle w:val="BodyText"/>
      </w:pPr>
    </w:p>
    <w:p w14:paraId="688B4A87" w14:textId="77777777" w:rsidR="000E2E95" w:rsidRPr="005669CE" w:rsidRDefault="000E2E95" w:rsidP="00341A0D">
      <w:pPr>
        <w:pStyle w:val="BodyText"/>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5"/>
        <w:gridCol w:w="2916"/>
      </w:tblGrid>
      <w:tr w:rsidR="000C10E3" w14:paraId="6DF4CD67" w14:textId="77777777">
        <w:trPr>
          <w:trHeight w:val="451"/>
        </w:trPr>
        <w:tc>
          <w:tcPr>
            <w:tcW w:w="6435" w:type="dxa"/>
            <w:shd w:val="clear" w:color="auto" w:fill="DEEAF6"/>
          </w:tcPr>
          <w:p w14:paraId="42B703D8" w14:textId="77777777" w:rsidR="000E2E95" w:rsidRPr="005669CE" w:rsidRDefault="00DB0A1C" w:rsidP="00CE74C2">
            <w:pPr>
              <w:pStyle w:val="TableParagraph"/>
              <w:spacing w:before="1"/>
              <w:ind w:left="107"/>
              <w:jc w:val="both"/>
              <w:rPr>
                <w:b/>
              </w:rPr>
            </w:pPr>
            <w:r w:rsidRPr="005669CE">
              <w:rPr>
                <w:b/>
                <w:bCs/>
                <w:lang w:val="fr-FR"/>
              </w:rPr>
              <w:t xml:space="preserve">Étapes à suivre pour la filtration d’urine </w:t>
            </w:r>
          </w:p>
        </w:tc>
        <w:tc>
          <w:tcPr>
            <w:tcW w:w="2916" w:type="dxa"/>
            <w:shd w:val="clear" w:color="auto" w:fill="DEEAF6"/>
          </w:tcPr>
          <w:p w14:paraId="021B5767" w14:textId="77777777" w:rsidR="000E2E95" w:rsidRPr="005669CE" w:rsidRDefault="00DB0A1C" w:rsidP="00CE74C2">
            <w:pPr>
              <w:pStyle w:val="TableParagraph"/>
              <w:spacing w:before="1"/>
              <w:ind w:left="108"/>
              <w:jc w:val="both"/>
              <w:rPr>
                <w:b/>
              </w:rPr>
            </w:pPr>
            <w:r w:rsidRPr="005669CE">
              <w:rPr>
                <w:b/>
                <w:bCs/>
                <w:spacing w:val="-2"/>
                <w:lang w:val="fr-FR"/>
              </w:rPr>
              <w:t>Images</w:t>
            </w:r>
          </w:p>
        </w:tc>
      </w:tr>
      <w:tr w:rsidR="000C10E3" w14:paraId="1F299B79" w14:textId="77777777">
        <w:trPr>
          <w:trHeight w:val="2171"/>
        </w:trPr>
        <w:tc>
          <w:tcPr>
            <w:tcW w:w="6435" w:type="dxa"/>
          </w:tcPr>
          <w:p w14:paraId="6378D118" w14:textId="4496B5B3" w:rsidR="000E2E95" w:rsidRPr="005669CE" w:rsidRDefault="00DB0A1C" w:rsidP="00CE74C2">
            <w:pPr>
              <w:pStyle w:val="TableParagraph"/>
              <w:spacing w:line="259" w:lineRule="auto"/>
              <w:ind w:left="107" w:right="111"/>
              <w:jc w:val="both"/>
            </w:pPr>
            <w:r w:rsidRPr="005669CE">
              <w:rPr>
                <w:lang w:val="fr-FR"/>
              </w:rPr>
              <w:t xml:space="preserve">Étape 1 : S’assurer que les porte-filtres et les seringues sont bien nettoyés et secs. Dévisser le porte-filtre et insérer un filtre </w:t>
            </w:r>
            <w:proofErr w:type="spellStart"/>
            <w:r w:rsidRPr="005669CE">
              <w:rPr>
                <w:lang w:val="fr-FR"/>
              </w:rPr>
              <w:t>Nuclepore</w:t>
            </w:r>
            <w:proofErr w:type="spellEnd"/>
            <w:r w:rsidRPr="005669CE">
              <w:rPr>
                <w:lang w:val="fr-FR"/>
              </w:rPr>
              <w:t xml:space="preserve"> entre les deux parties du porte-filtre. S’assurer qu’il est correctement maintenu en place avant de revisser l’ensemble.</w:t>
            </w:r>
          </w:p>
        </w:tc>
        <w:tc>
          <w:tcPr>
            <w:tcW w:w="2916" w:type="dxa"/>
          </w:tcPr>
          <w:p w14:paraId="2CFA6D0C" w14:textId="77777777" w:rsidR="000E2E95" w:rsidRPr="005669CE" w:rsidRDefault="000E2E95" w:rsidP="00CE74C2">
            <w:pPr>
              <w:pStyle w:val="TableParagraph"/>
              <w:spacing w:before="10" w:after="1"/>
              <w:jc w:val="both"/>
              <w:rPr>
                <w:sz w:val="19"/>
              </w:rPr>
            </w:pPr>
          </w:p>
          <w:p w14:paraId="1E362B58" w14:textId="77777777" w:rsidR="000E2E95" w:rsidRPr="005669CE" w:rsidRDefault="00DB0A1C" w:rsidP="00CE74C2">
            <w:pPr>
              <w:pStyle w:val="TableParagraph"/>
              <w:ind w:left="431"/>
              <w:jc w:val="both"/>
              <w:rPr>
                <w:sz w:val="20"/>
              </w:rPr>
            </w:pPr>
            <w:r w:rsidRPr="005669CE">
              <w:rPr>
                <w:noProof/>
                <w:sz w:val="20"/>
              </w:rPr>
              <w:drawing>
                <wp:inline distT="0" distB="0" distL="0" distR="0" wp14:anchorId="66144789" wp14:editId="33094C87">
                  <wp:extent cx="1047045" cy="1085468"/>
                  <wp:effectExtent l="0" t="0" r="0" b="0"/>
                  <wp:docPr id="107" name="Image 107" descr="A person holding a needle to a plastic container  Description automatically generated"/>
                  <wp:cNvGraphicFramePr/>
                  <a:graphic xmlns:a="http://schemas.openxmlformats.org/drawingml/2006/main">
                    <a:graphicData uri="http://schemas.openxmlformats.org/drawingml/2006/picture">
                      <pic:pic xmlns:pic="http://schemas.openxmlformats.org/drawingml/2006/picture">
                        <pic:nvPicPr>
                          <pic:cNvPr id="1066594289" name="Image 107" descr="A person holding a needle to a plastic container  Description automatically generated"/>
                          <pic:cNvPicPr/>
                        </pic:nvPicPr>
                        <pic:blipFill>
                          <a:blip r:embed="rId28" cstate="print"/>
                          <a:stretch>
                            <a:fillRect/>
                          </a:stretch>
                        </pic:blipFill>
                        <pic:spPr>
                          <a:xfrm>
                            <a:off x="0" y="0"/>
                            <a:ext cx="1047045" cy="1085468"/>
                          </a:xfrm>
                          <a:prstGeom prst="rect">
                            <a:avLst/>
                          </a:prstGeom>
                        </pic:spPr>
                      </pic:pic>
                    </a:graphicData>
                  </a:graphic>
                </wp:inline>
              </w:drawing>
            </w:r>
          </w:p>
        </w:tc>
      </w:tr>
      <w:tr w:rsidR="000C10E3" w14:paraId="437CBB4C" w14:textId="77777777">
        <w:trPr>
          <w:trHeight w:val="2349"/>
        </w:trPr>
        <w:tc>
          <w:tcPr>
            <w:tcW w:w="6435" w:type="dxa"/>
          </w:tcPr>
          <w:p w14:paraId="1A3E35E5" w14:textId="77777777" w:rsidR="000E2E95" w:rsidRPr="005669CE" w:rsidRDefault="00DB0A1C" w:rsidP="00CE74C2">
            <w:pPr>
              <w:pStyle w:val="TableParagraph"/>
              <w:spacing w:line="259" w:lineRule="auto"/>
              <w:ind w:left="107" w:right="111"/>
              <w:jc w:val="both"/>
            </w:pPr>
            <w:r w:rsidRPr="005669CE">
              <w:rPr>
                <w:lang w:val="fr-FR"/>
              </w:rPr>
              <w:t>Étape 2 : Mélanger l’échantillon d’urine (en l’agitant ou en le pompant puis en le relâchant à l’aide d’une seringue) avant de prélever 10 ml d’urine dans la seringue. Fixer ensuite l’unité de filtration (porte-filtre avec filtre à l’intérieur).</w:t>
            </w:r>
          </w:p>
          <w:p w14:paraId="5FA649DD" w14:textId="77777777" w:rsidR="000E2E95" w:rsidRPr="005669CE" w:rsidRDefault="00DB0A1C" w:rsidP="00CE74C2">
            <w:pPr>
              <w:pStyle w:val="TableParagraph"/>
              <w:spacing w:before="159" w:line="259" w:lineRule="auto"/>
              <w:ind w:left="107"/>
              <w:jc w:val="both"/>
              <w:rPr>
                <w:b/>
              </w:rPr>
            </w:pPr>
            <w:r w:rsidRPr="005669CE">
              <w:rPr>
                <w:b/>
                <w:bCs/>
                <w:lang w:val="fr-FR"/>
              </w:rPr>
              <w:t>Si l’échantillon d’urine disponible est inférieur à 10 ml, retirez toute l’urine du pot d’échantillonnage et notez la quantité d’urine (ml) sur le formulaire de laboratoire à côté du numéro d’identification</w:t>
            </w:r>
            <w:r w:rsidRPr="005669CE">
              <w:rPr>
                <w:lang w:val="fr-FR"/>
              </w:rPr>
              <w:t xml:space="preserve">. </w:t>
            </w:r>
            <w:r w:rsidRPr="005669CE">
              <w:rPr>
                <w:b/>
                <w:bCs/>
                <w:lang w:val="fr-FR"/>
              </w:rPr>
              <w:t>Ne pas jeter pas l’échantillon d’urine s’il est inférieur à 10 ml.</w:t>
            </w:r>
          </w:p>
        </w:tc>
        <w:tc>
          <w:tcPr>
            <w:tcW w:w="2916" w:type="dxa"/>
          </w:tcPr>
          <w:p w14:paraId="096C7B8E" w14:textId="77777777" w:rsidR="000E2E95" w:rsidRPr="005669CE" w:rsidRDefault="000E2E95" w:rsidP="00CE74C2">
            <w:pPr>
              <w:pStyle w:val="TableParagraph"/>
              <w:spacing w:before="2" w:after="1"/>
              <w:jc w:val="both"/>
              <w:rPr>
                <w:sz w:val="16"/>
              </w:rPr>
            </w:pPr>
          </w:p>
          <w:p w14:paraId="21CCA904" w14:textId="77777777" w:rsidR="000E2E95" w:rsidRPr="005669CE" w:rsidRDefault="00DB0A1C" w:rsidP="00CE74C2">
            <w:pPr>
              <w:pStyle w:val="TableParagraph"/>
              <w:ind w:left="461"/>
              <w:jc w:val="both"/>
              <w:rPr>
                <w:sz w:val="20"/>
              </w:rPr>
            </w:pPr>
            <w:r w:rsidRPr="005669CE">
              <w:rPr>
                <w:noProof/>
                <w:sz w:val="20"/>
              </w:rPr>
              <w:drawing>
                <wp:inline distT="0" distB="0" distL="0" distR="0" wp14:anchorId="06C9B741" wp14:editId="0387F4C9">
                  <wp:extent cx="798537" cy="1155953"/>
                  <wp:effectExtent l="0" t="0" r="0" b="0"/>
                  <wp:docPr id="108" name="Image 108"/>
                  <wp:cNvGraphicFramePr/>
                  <a:graphic xmlns:a="http://schemas.openxmlformats.org/drawingml/2006/main">
                    <a:graphicData uri="http://schemas.openxmlformats.org/drawingml/2006/picture">
                      <pic:pic xmlns:pic="http://schemas.openxmlformats.org/drawingml/2006/picture">
                        <pic:nvPicPr>
                          <pic:cNvPr id="715325683" name="Image 108"/>
                          <pic:cNvPicPr/>
                        </pic:nvPicPr>
                        <pic:blipFill>
                          <a:blip r:embed="rId29" cstate="print"/>
                          <a:stretch>
                            <a:fillRect/>
                          </a:stretch>
                        </pic:blipFill>
                        <pic:spPr>
                          <a:xfrm>
                            <a:off x="0" y="0"/>
                            <a:ext cx="798537" cy="1155953"/>
                          </a:xfrm>
                          <a:prstGeom prst="rect">
                            <a:avLst/>
                          </a:prstGeom>
                        </pic:spPr>
                      </pic:pic>
                    </a:graphicData>
                  </a:graphic>
                </wp:inline>
              </w:drawing>
            </w:r>
          </w:p>
        </w:tc>
      </w:tr>
      <w:tr w:rsidR="000C10E3" w14:paraId="26017D21" w14:textId="77777777">
        <w:trPr>
          <w:trHeight w:val="2253"/>
        </w:trPr>
        <w:tc>
          <w:tcPr>
            <w:tcW w:w="6435" w:type="dxa"/>
          </w:tcPr>
          <w:p w14:paraId="232A18F8" w14:textId="77777777" w:rsidR="000E2E95" w:rsidRPr="005669CE" w:rsidRDefault="00DB0A1C" w:rsidP="00CE74C2">
            <w:pPr>
              <w:pStyle w:val="TableParagraph"/>
              <w:spacing w:line="259" w:lineRule="auto"/>
              <w:ind w:left="107" w:right="111"/>
              <w:jc w:val="both"/>
            </w:pPr>
            <w:r w:rsidRPr="005669CE">
              <w:rPr>
                <w:lang w:val="fr-FR"/>
              </w:rPr>
              <w:lastRenderedPageBreak/>
              <w:t>Maintenir la seringue et l’unité à la verticale, appuyer sur la ventouse pour faire passer toute l’urine à travers le filtre et la vider dans un seau.</w:t>
            </w:r>
          </w:p>
        </w:tc>
        <w:tc>
          <w:tcPr>
            <w:tcW w:w="2916" w:type="dxa"/>
          </w:tcPr>
          <w:p w14:paraId="210CAB13" w14:textId="77777777" w:rsidR="000E2E95" w:rsidRPr="005669CE" w:rsidRDefault="000E2E95" w:rsidP="00CE74C2">
            <w:pPr>
              <w:pStyle w:val="TableParagraph"/>
              <w:spacing w:before="1"/>
              <w:jc w:val="both"/>
              <w:rPr>
                <w:sz w:val="9"/>
              </w:rPr>
            </w:pPr>
          </w:p>
          <w:p w14:paraId="7E0BCE97" w14:textId="77777777" w:rsidR="000E2E95" w:rsidRPr="005669CE" w:rsidRDefault="00DB0A1C" w:rsidP="00CE74C2">
            <w:pPr>
              <w:pStyle w:val="TableParagraph"/>
              <w:ind w:left="431"/>
              <w:jc w:val="both"/>
              <w:rPr>
                <w:sz w:val="20"/>
              </w:rPr>
            </w:pPr>
            <w:r w:rsidRPr="005669CE">
              <w:rPr>
                <w:noProof/>
                <w:sz w:val="20"/>
              </w:rPr>
              <w:drawing>
                <wp:inline distT="0" distB="0" distL="0" distR="0" wp14:anchorId="11C67107" wp14:editId="04EAE141">
                  <wp:extent cx="905387" cy="1040130"/>
                  <wp:effectExtent l="0" t="0" r="0" b="0"/>
                  <wp:docPr id="109" name="Image 109"/>
                  <wp:cNvGraphicFramePr/>
                  <a:graphic xmlns:a="http://schemas.openxmlformats.org/drawingml/2006/main">
                    <a:graphicData uri="http://schemas.openxmlformats.org/drawingml/2006/picture">
                      <pic:pic xmlns:pic="http://schemas.openxmlformats.org/drawingml/2006/picture">
                        <pic:nvPicPr>
                          <pic:cNvPr id="1166859084" name="Image 109"/>
                          <pic:cNvPicPr/>
                        </pic:nvPicPr>
                        <pic:blipFill>
                          <a:blip r:embed="rId30" cstate="print"/>
                          <a:stretch>
                            <a:fillRect/>
                          </a:stretch>
                        </pic:blipFill>
                        <pic:spPr>
                          <a:xfrm>
                            <a:off x="0" y="0"/>
                            <a:ext cx="905387" cy="1040130"/>
                          </a:xfrm>
                          <a:prstGeom prst="rect">
                            <a:avLst/>
                          </a:prstGeom>
                        </pic:spPr>
                      </pic:pic>
                    </a:graphicData>
                  </a:graphic>
                </wp:inline>
              </w:drawing>
            </w:r>
          </w:p>
        </w:tc>
      </w:tr>
    </w:tbl>
    <w:p w14:paraId="222A21A6" w14:textId="77777777" w:rsidR="000E2E95" w:rsidRPr="005669CE" w:rsidRDefault="000E2E95" w:rsidP="00CE74C2">
      <w:pPr>
        <w:jc w:val="both"/>
        <w:rPr>
          <w:sz w:val="20"/>
        </w:rPr>
        <w:sectPr w:rsidR="000E2E95" w:rsidRPr="005669CE"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5"/>
        <w:gridCol w:w="2916"/>
      </w:tblGrid>
      <w:tr w:rsidR="000C10E3" w14:paraId="530FA538" w14:textId="77777777">
        <w:trPr>
          <w:trHeight w:val="3691"/>
        </w:trPr>
        <w:tc>
          <w:tcPr>
            <w:tcW w:w="6435" w:type="dxa"/>
          </w:tcPr>
          <w:p w14:paraId="45599BCB" w14:textId="77777777" w:rsidR="000E2E95" w:rsidRPr="005669CE" w:rsidRDefault="00DB0A1C" w:rsidP="00CE74C2">
            <w:pPr>
              <w:pStyle w:val="TableParagraph"/>
              <w:spacing w:line="259" w:lineRule="auto"/>
              <w:ind w:left="107"/>
              <w:jc w:val="both"/>
            </w:pPr>
            <w:r w:rsidRPr="005669CE">
              <w:rPr>
                <w:lang w:val="fr-FR"/>
              </w:rPr>
              <w:t>Étape 4 : Détacher délicatement la seringue de l’unité de filtration. Aspirer de l’air dans la seringue, rattacher la seringue à l’unité de filtration et expulser l’air de nouveau. Cette étape est importante, car elle permet d’éliminer tout excès d’urine et de s’assurer que les œufs sont fermement fixés au filtre.</w:t>
            </w:r>
          </w:p>
        </w:tc>
        <w:tc>
          <w:tcPr>
            <w:tcW w:w="2916" w:type="dxa"/>
          </w:tcPr>
          <w:p w14:paraId="19BAA752" w14:textId="77777777" w:rsidR="000E2E95" w:rsidRPr="005669CE" w:rsidRDefault="00DB0A1C" w:rsidP="00CE74C2">
            <w:pPr>
              <w:pStyle w:val="TableParagraph"/>
              <w:ind w:left="1739" w:right="-15"/>
              <w:jc w:val="both"/>
              <w:rPr>
                <w:sz w:val="20"/>
              </w:rPr>
            </w:pPr>
            <w:r w:rsidRPr="005669CE">
              <w:rPr>
                <w:noProof/>
                <w:sz w:val="20"/>
              </w:rPr>
              <w:drawing>
                <wp:inline distT="0" distB="0" distL="0" distR="0" wp14:anchorId="41D02792" wp14:editId="698AE547">
                  <wp:extent cx="720868" cy="1211579"/>
                  <wp:effectExtent l="0" t="0" r="0" b="0"/>
                  <wp:docPr id="110" name="Image 110"/>
                  <wp:cNvGraphicFramePr/>
                  <a:graphic xmlns:a="http://schemas.openxmlformats.org/drawingml/2006/main">
                    <a:graphicData uri="http://schemas.openxmlformats.org/drawingml/2006/picture">
                      <pic:pic xmlns:pic="http://schemas.openxmlformats.org/drawingml/2006/picture">
                        <pic:nvPicPr>
                          <pic:cNvPr id="189186188" name="Image 110"/>
                          <pic:cNvPicPr/>
                        </pic:nvPicPr>
                        <pic:blipFill>
                          <a:blip r:embed="rId31" cstate="print"/>
                          <a:stretch>
                            <a:fillRect/>
                          </a:stretch>
                        </pic:blipFill>
                        <pic:spPr>
                          <a:xfrm>
                            <a:off x="0" y="0"/>
                            <a:ext cx="720868" cy="1211579"/>
                          </a:xfrm>
                          <a:prstGeom prst="rect">
                            <a:avLst/>
                          </a:prstGeom>
                        </pic:spPr>
                      </pic:pic>
                    </a:graphicData>
                  </a:graphic>
                </wp:inline>
              </w:drawing>
            </w:r>
          </w:p>
          <w:p w14:paraId="28B1AFD6" w14:textId="77777777" w:rsidR="000E2E95" w:rsidRPr="005669CE" w:rsidRDefault="000E2E95" w:rsidP="00CE74C2">
            <w:pPr>
              <w:pStyle w:val="TableParagraph"/>
              <w:spacing w:before="10"/>
              <w:jc w:val="both"/>
              <w:rPr>
                <w:sz w:val="5"/>
              </w:rPr>
            </w:pPr>
          </w:p>
          <w:p w14:paraId="43B35D50" w14:textId="77777777" w:rsidR="000E2E95" w:rsidRPr="005669CE" w:rsidRDefault="00DB0A1C" w:rsidP="00CE74C2">
            <w:pPr>
              <w:pStyle w:val="TableParagraph"/>
              <w:ind w:left="107"/>
              <w:jc w:val="both"/>
              <w:rPr>
                <w:sz w:val="20"/>
              </w:rPr>
            </w:pPr>
            <w:r w:rsidRPr="005669CE">
              <w:rPr>
                <w:noProof/>
                <w:sz w:val="20"/>
              </w:rPr>
              <w:drawing>
                <wp:inline distT="0" distB="0" distL="0" distR="0" wp14:anchorId="108ABB73" wp14:editId="3545D869">
                  <wp:extent cx="947045" cy="969168"/>
                  <wp:effectExtent l="0" t="0" r="0" b="0"/>
                  <wp:docPr id="111" name="Image 111"/>
                  <wp:cNvGraphicFramePr/>
                  <a:graphic xmlns:a="http://schemas.openxmlformats.org/drawingml/2006/main">
                    <a:graphicData uri="http://schemas.openxmlformats.org/drawingml/2006/picture">
                      <pic:pic xmlns:pic="http://schemas.openxmlformats.org/drawingml/2006/picture">
                        <pic:nvPicPr>
                          <pic:cNvPr id="631528676" name="Image 111"/>
                          <pic:cNvPicPr/>
                        </pic:nvPicPr>
                        <pic:blipFill>
                          <a:blip r:embed="rId32" cstate="print"/>
                          <a:stretch>
                            <a:fillRect/>
                          </a:stretch>
                        </pic:blipFill>
                        <pic:spPr>
                          <a:xfrm>
                            <a:off x="0" y="0"/>
                            <a:ext cx="947045" cy="969168"/>
                          </a:xfrm>
                          <a:prstGeom prst="rect">
                            <a:avLst/>
                          </a:prstGeom>
                        </pic:spPr>
                      </pic:pic>
                    </a:graphicData>
                  </a:graphic>
                </wp:inline>
              </w:drawing>
            </w:r>
          </w:p>
        </w:tc>
      </w:tr>
      <w:tr w:rsidR="000C10E3" w14:paraId="28678690" w14:textId="77777777">
        <w:trPr>
          <w:trHeight w:val="1768"/>
        </w:trPr>
        <w:tc>
          <w:tcPr>
            <w:tcW w:w="6435" w:type="dxa"/>
          </w:tcPr>
          <w:p w14:paraId="1A424969" w14:textId="77777777" w:rsidR="000E2E95" w:rsidRPr="005669CE" w:rsidRDefault="00DB0A1C" w:rsidP="00CE74C2">
            <w:pPr>
              <w:pStyle w:val="TableParagraph"/>
              <w:spacing w:line="259" w:lineRule="auto"/>
              <w:ind w:left="107" w:right="111"/>
              <w:jc w:val="both"/>
            </w:pPr>
            <w:r w:rsidRPr="005669CE">
              <w:rPr>
                <w:lang w:val="fr-FR"/>
              </w:rPr>
              <w:t>Étape 5 : Dévisser le porte-filtre et utiliser des petites pinces pour retirer le filtre et le placer sur la lame de microscope en verre étiquetée avec un numéro d’identification unique. La face supérieure du filtre, où les œufs ont été capturés, doit être tournée vers le haut sur la lame.</w:t>
            </w:r>
          </w:p>
          <w:p w14:paraId="7C07027B" w14:textId="77777777" w:rsidR="000E2E95" w:rsidRPr="005669CE" w:rsidRDefault="00DB0A1C" w:rsidP="00CE74C2">
            <w:pPr>
              <w:pStyle w:val="TableParagraph"/>
              <w:spacing w:before="159"/>
              <w:ind w:left="107"/>
              <w:jc w:val="both"/>
            </w:pPr>
            <w:r w:rsidRPr="005669CE">
              <w:rPr>
                <w:lang w:val="fr-FR"/>
              </w:rPr>
              <w:t>NE PAS JETER LE PORTE-FILTRE OU LA SERINGUE.</w:t>
            </w:r>
          </w:p>
        </w:tc>
        <w:tc>
          <w:tcPr>
            <w:tcW w:w="2916" w:type="dxa"/>
          </w:tcPr>
          <w:p w14:paraId="33F71182" w14:textId="77777777" w:rsidR="000E2E95" w:rsidRPr="005669CE" w:rsidRDefault="000E2E95" w:rsidP="00CE74C2">
            <w:pPr>
              <w:pStyle w:val="TableParagraph"/>
              <w:jc w:val="both"/>
              <w:rPr>
                <w:rFonts w:ascii="Times New Roman"/>
              </w:rPr>
            </w:pPr>
          </w:p>
        </w:tc>
      </w:tr>
      <w:tr w:rsidR="000C10E3" w14:paraId="327CCFB8" w14:textId="77777777">
        <w:trPr>
          <w:trHeight w:val="1116"/>
        </w:trPr>
        <w:tc>
          <w:tcPr>
            <w:tcW w:w="6435" w:type="dxa"/>
          </w:tcPr>
          <w:p w14:paraId="32500AAA" w14:textId="7B9E6F6D" w:rsidR="000E2E95" w:rsidRPr="00344EE2" w:rsidRDefault="00344EE2" w:rsidP="00344EE2">
            <w:pPr>
              <w:pStyle w:val="TableParagraph"/>
              <w:spacing w:before="19"/>
              <w:ind w:left="107"/>
              <w:jc w:val="both"/>
              <w:rPr>
                <w:lang w:val="fr-FR"/>
              </w:rPr>
            </w:pPr>
            <w:r w:rsidRPr="00344EE2">
              <w:rPr>
                <w:lang w:val="fr-FR"/>
              </w:rPr>
              <w:t>Étape 6 : Ajouter une goutte d’iode de Lugol et attendre 15 secondes pour que la teinture pénètre dans les œufs. Les œufs sont ainsi plus facilement visibles</w:t>
            </w:r>
            <w:r w:rsidR="00DB0A1C" w:rsidRPr="00344EE2">
              <w:rPr>
                <w:lang w:val="fr-FR"/>
              </w:rPr>
              <w:t>.</w:t>
            </w:r>
          </w:p>
        </w:tc>
        <w:tc>
          <w:tcPr>
            <w:tcW w:w="2916" w:type="dxa"/>
          </w:tcPr>
          <w:p w14:paraId="43B5DA19" w14:textId="77777777" w:rsidR="000E2E95" w:rsidRPr="005669CE" w:rsidRDefault="00DB0A1C" w:rsidP="00CE74C2">
            <w:pPr>
              <w:pStyle w:val="TableParagraph"/>
              <w:ind w:left="107"/>
              <w:jc w:val="both"/>
              <w:rPr>
                <w:sz w:val="20"/>
              </w:rPr>
            </w:pPr>
            <w:r w:rsidRPr="005669CE">
              <w:rPr>
                <w:noProof/>
                <w:sz w:val="20"/>
              </w:rPr>
              <w:drawing>
                <wp:inline distT="0" distB="0" distL="0" distR="0" wp14:anchorId="538BFF5F" wp14:editId="3CD0C770">
                  <wp:extent cx="1088280" cy="589788"/>
                  <wp:effectExtent l="0" t="0" r="0" b="0"/>
                  <wp:docPr id="112" name="Image 112"/>
                  <wp:cNvGraphicFramePr/>
                  <a:graphic xmlns:a="http://schemas.openxmlformats.org/drawingml/2006/main">
                    <a:graphicData uri="http://schemas.openxmlformats.org/drawingml/2006/picture">
                      <pic:pic xmlns:pic="http://schemas.openxmlformats.org/drawingml/2006/picture">
                        <pic:nvPicPr>
                          <pic:cNvPr id="1645259739" name="Image 112"/>
                          <pic:cNvPicPr/>
                        </pic:nvPicPr>
                        <pic:blipFill>
                          <a:blip r:embed="rId33" cstate="print"/>
                          <a:stretch>
                            <a:fillRect/>
                          </a:stretch>
                        </pic:blipFill>
                        <pic:spPr>
                          <a:xfrm>
                            <a:off x="0" y="0"/>
                            <a:ext cx="1088280" cy="589788"/>
                          </a:xfrm>
                          <a:prstGeom prst="rect">
                            <a:avLst/>
                          </a:prstGeom>
                        </pic:spPr>
                      </pic:pic>
                    </a:graphicData>
                  </a:graphic>
                </wp:inline>
              </w:drawing>
            </w:r>
          </w:p>
        </w:tc>
      </w:tr>
      <w:tr w:rsidR="000C10E3" w14:paraId="2993A4DC" w14:textId="77777777">
        <w:trPr>
          <w:trHeight w:val="2983"/>
        </w:trPr>
        <w:tc>
          <w:tcPr>
            <w:tcW w:w="6435" w:type="dxa"/>
          </w:tcPr>
          <w:p w14:paraId="79398920" w14:textId="77777777" w:rsidR="000E2E95" w:rsidRPr="005669CE" w:rsidRDefault="00DB0A1C" w:rsidP="00CE74C2">
            <w:pPr>
              <w:pStyle w:val="TableParagraph"/>
              <w:spacing w:line="259" w:lineRule="auto"/>
              <w:ind w:left="107" w:right="111"/>
              <w:jc w:val="both"/>
            </w:pPr>
            <w:r w:rsidRPr="005669CE">
              <w:rPr>
                <w:lang w:val="fr-FR"/>
              </w:rPr>
              <w:t xml:space="preserve">Étape 7 : Examiner immédiatement l’ensemble du filtre au microscope. En commençant dans un coin de l’échantillon, scanner systématiquement </w:t>
            </w:r>
            <w:r w:rsidRPr="005669CE">
              <w:rPr>
                <w:b/>
                <w:bCs/>
                <w:lang w:val="fr-FR"/>
              </w:rPr>
              <w:t>L’INTÉGRALITÉ</w:t>
            </w:r>
            <w:r w:rsidRPr="005669CE">
              <w:rPr>
                <w:lang w:val="fr-FR"/>
              </w:rPr>
              <w:t xml:space="preserve"> de l’échantillon en « zig </w:t>
            </w:r>
            <w:proofErr w:type="spellStart"/>
            <w:r w:rsidRPr="005669CE">
              <w:rPr>
                <w:lang w:val="fr-FR"/>
              </w:rPr>
              <w:t>zag</w:t>
            </w:r>
            <w:proofErr w:type="spellEnd"/>
            <w:r w:rsidRPr="005669CE">
              <w:rPr>
                <w:lang w:val="fr-FR"/>
              </w:rPr>
              <w:t xml:space="preserve"> ». Lorsque vous passez à une nouvelle rangée, conservez un petit chevauchement de champ microscopique : un objet situé dans le coin du champ est choisi et amené vers le côté opposé du champ. Le deuxième champ est ensuite examiné. Compter </w:t>
            </w:r>
            <w:r w:rsidRPr="005669CE">
              <w:rPr>
                <w:b/>
                <w:bCs/>
                <w:lang w:val="fr-FR"/>
              </w:rPr>
              <w:t xml:space="preserve">TOUS </w:t>
            </w:r>
            <w:r w:rsidRPr="005669CE">
              <w:rPr>
                <w:lang w:val="fr-FR"/>
              </w:rPr>
              <w:t>les œufs sur le filtre à l’aide d’un compteur manuel. Les œufs de schistosome sont clairement visibles, car ils se colorent en orange.</w:t>
            </w:r>
          </w:p>
        </w:tc>
        <w:tc>
          <w:tcPr>
            <w:tcW w:w="2916" w:type="dxa"/>
          </w:tcPr>
          <w:p w14:paraId="2F4E952D" w14:textId="77777777" w:rsidR="000E2E95" w:rsidRPr="005669CE" w:rsidRDefault="000E2E95" w:rsidP="00CE74C2">
            <w:pPr>
              <w:pStyle w:val="TableParagraph"/>
              <w:spacing w:before="5"/>
              <w:jc w:val="both"/>
              <w:rPr>
                <w:sz w:val="14"/>
              </w:rPr>
            </w:pPr>
          </w:p>
          <w:p w14:paraId="74BD9F42" w14:textId="77777777" w:rsidR="000E2E95" w:rsidRPr="005669CE" w:rsidRDefault="00DB0A1C" w:rsidP="00CE74C2">
            <w:pPr>
              <w:pStyle w:val="TableParagraph"/>
              <w:ind w:left="149"/>
              <w:jc w:val="both"/>
              <w:rPr>
                <w:sz w:val="20"/>
              </w:rPr>
            </w:pPr>
            <w:r w:rsidRPr="005669CE">
              <w:rPr>
                <w:noProof/>
                <w:sz w:val="20"/>
              </w:rPr>
              <mc:AlternateContent>
                <mc:Choice Requires="wpg">
                  <w:drawing>
                    <wp:inline distT="0" distB="0" distL="0" distR="0" wp14:anchorId="307FEB0E" wp14:editId="366949FC">
                      <wp:extent cx="1682750" cy="1725930"/>
                      <wp:effectExtent l="0" t="0" r="0" b="7619"/>
                      <wp:docPr id="113" name="Group 113"/>
                      <wp:cNvGraphicFramePr/>
                      <a:graphic xmlns:a="http://schemas.openxmlformats.org/drawingml/2006/main">
                        <a:graphicData uri="http://schemas.microsoft.com/office/word/2010/wordprocessingGroup">
                          <wpg:wgp>
                            <wpg:cNvGrpSpPr/>
                            <wpg:grpSpPr>
                              <a:xfrm>
                                <a:off x="0" y="0"/>
                                <a:ext cx="1682750" cy="1725930"/>
                                <a:chOff x="0" y="0"/>
                                <a:chExt cx="1682750" cy="1725930"/>
                              </a:xfrm>
                            </wpg:grpSpPr>
                            <pic:pic xmlns:pic="http://schemas.openxmlformats.org/drawingml/2006/picture">
                              <pic:nvPicPr>
                                <pic:cNvPr id="114" name="Image 114" descr="A couple of rectangular objects with arrows  Description automatically generated"/>
                                <pic:cNvPicPr/>
                              </pic:nvPicPr>
                              <pic:blipFill>
                                <a:blip r:embed="rId34" cstate="print"/>
                                <a:stretch>
                                  <a:fillRect/>
                                </a:stretch>
                              </pic:blipFill>
                              <pic:spPr>
                                <a:xfrm>
                                  <a:off x="0" y="0"/>
                                  <a:ext cx="1682438" cy="754029"/>
                                </a:xfrm>
                                <a:prstGeom prst="rect">
                                  <a:avLst/>
                                </a:prstGeom>
                              </pic:spPr>
                            </pic:pic>
                            <pic:pic xmlns:pic="http://schemas.openxmlformats.org/drawingml/2006/picture">
                              <pic:nvPicPr>
                                <pic:cNvPr id="115" name="Image 115" descr="A diagram of a diagram of a cycle  Description automatically generated"/>
                                <pic:cNvPicPr/>
                              </pic:nvPicPr>
                              <pic:blipFill>
                                <a:blip r:embed="rId35" cstate="print"/>
                                <a:stretch>
                                  <a:fillRect/>
                                </a:stretch>
                              </pic:blipFill>
                              <pic:spPr>
                                <a:xfrm>
                                  <a:off x="5708" y="694050"/>
                                  <a:ext cx="1554861" cy="1031875"/>
                                </a:xfrm>
                                <a:prstGeom prst="rect">
                                  <a:avLst/>
                                </a:prstGeom>
                              </pic:spPr>
                            </pic:pic>
                          </wpg:wgp>
                        </a:graphicData>
                      </a:graphic>
                    </wp:inline>
                  </w:drawing>
                </mc:Choice>
                <mc:Fallback xmlns:a14="http://schemas.microsoft.com/office/drawing/2010/main" xmlns:pic="http://schemas.openxmlformats.org/drawingml/2006/picture" xmlns:a="http://schemas.openxmlformats.org/drawingml/2006/main">
                  <w:pict w14:anchorId="4FB2D330">
                    <v:group id="Group 113" style="width:132.5pt;height:135.9pt;mso-position-horizontal-relative:char;mso-position-vertical-relative:line" coordsize="16827,17259" o:spid="_x0000_i1030">
                      <v:shape id="Image 114" style="width:16824;height:7540;mso-wrap-style:square;position:absolute;visibility:visible" alt="A couple of rectangular objects with arrows  Description automatically generated" o:spid="_x0000_s1031" type="#_x0000_t75">
                        <v:imagedata o:title="A couple of rectangular objects with arrows  Description automatically generated" r:id="rId39"/>
                      </v:shape>
                      <v:shape id="Image 115" style="width:15548;height:10319;left:57;mso-wrap-style:square;position:absolute;top:6940;visibility:visible" alt="A diagram of a diagram of a cycle  Description automatically generated" o:spid="_x0000_s1032" type="#_x0000_t75">
                        <v:imagedata o:title="A diagram of a diagram of a cycle  Description automatically generated" r:id="rId40"/>
                      </v:shape>
                      <w10:wrap type="none"/>
                      <w10:anchorlock/>
                    </v:group>
                  </w:pict>
                </mc:Fallback>
              </mc:AlternateContent>
            </w:r>
          </w:p>
        </w:tc>
      </w:tr>
      <w:tr w:rsidR="000C10E3" w14:paraId="796938CF" w14:textId="77777777">
        <w:trPr>
          <w:trHeight w:val="738"/>
        </w:trPr>
        <w:tc>
          <w:tcPr>
            <w:tcW w:w="6435" w:type="dxa"/>
          </w:tcPr>
          <w:p w14:paraId="43FAF361" w14:textId="77AA0ED0" w:rsidR="000E2E95" w:rsidRPr="001358F4" w:rsidRDefault="001358F4" w:rsidP="001358F4">
            <w:pPr>
              <w:pStyle w:val="TableParagraph"/>
              <w:spacing w:line="268" w:lineRule="exact"/>
              <w:ind w:left="107"/>
              <w:jc w:val="both"/>
              <w:rPr>
                <w:lang w:val="fr-FR"/>
              </w:rPr>
            </w:pPr>
            <w:r w:rsidRPr="001358F4">
              <w:rPr>
                <w:lang w:val="fr-FR"/>
              </w:rPr>
              <w:lastRenderedPageBreak/>
              <w:t>Étape 8 : Enregistrer le nombre total d’œufs sur le filtre. Si aucun œuf n’est observé, inscrire « 0 ».</w:t>
            </w:r>
          </w:p>
        </w:tc>
        <w:tc>
          <w:tcPr>
            <w:tcW w:w="2916" w:type="dxa"/>
          </w:tcPr>
          <w:p w14:paraId="0D57B937" w14:textId="77777777" w:rsidR="000E2E95" w:rsidRPr="005669CE" w:rsidRDefault="000E2E95" w:rsidP="00CE74C2">
            <w:pPr>
              <w:pStyle w:val="TableParagraph"/>
              <w:jc w:val="both"/>
              <w:rPr>
                <w:rFonts w:ascii="Times New Roman"/>
              </w:rPr>
            </w:pPr>
          </w:p>
        </w:tc>
      </w:tr>
      <w:tr w:rsidR="000C10E3" w14:paraId="31C1056F" w14:textId="77777777">
        <w:trPr>
          <w:trHeight w:val="1608"/>
        </w:trPr>
        <w:tc>
          <w:tcPr>
            <w:tcW w:w="6435" w:type="dxa"/>
          </w:tcPr>
          <w:p w14:paraId="54B5687D" w14:textId="77777777" w:rsidR="000E2E95" w:rsidRPr="005669CE" w:rsidRDefault="00DB0A1C" w:rsidP="00CE74C2">
            <w:pPr>
              <w:pStyle w:val="TableParagraph"/>
              <w:spacing w:line="259" w:lineRule="auto"/>
              <w:ind w:left="107" w:right="133"/>
              <w:jc w:val="both"/>
            </w:pPr>
            <w:r w:rsidRPr="005669CE">
              <w:rPr>
                <w:lang w:val="fr-FR"/>
              </w:rPr>
              <w:t xml:space="preserve">Étape 9 : Si les lames sont conservées pour le contrôle qualité, couvrir le filtre coloré avec une </w:t>
            </w:r>
            <w:r w:rsidRPr="005669CE">
              <w:rPr>
                <w:b/>
                <w:bCs/>
                <w:lang w:val="fr-FR"/>
              </w:rPr>
              <w:t xml:space="preserve">bande de cellophane imbibée de glycérol </w:t>
            </w:r>
            <w:r w:rsidRPr="005669CE">
              <w:rPr>
                <w:lang w:val="fr-FR"/>
              </w:rPr>
              <w:t>(PAS de bleu de méthylène ni de vert de malachite). Ajouter éventuellement du formol à 4 % ou une solution SAF pour un stockage plus long. Si les lames doivent être conservées, les garder au réfrigérateur pour éviter l’éclosion des œufs.</w:t>
            </w:r>
          </w:p>
        </w:tc>
        <w:tc>
          <w:tcPr>
            <w:tcW w:w="2916" w:type="dxa"/>
          </w:tcPr>
          <w:p w14:paraId="4E767706" w14:textId="77777777" w:rsidR="000E2E95" w:rsidRPr="005669CE" w:rsidRDefault="000E2E95" w:rsidP="00CE74C2">
            <w:pPr>
              <w:pStyle w:val="TableParagraph"/>
              <w:jc w:val="both"/>
              <w:rPr>
                <w:rFonts w:ascii="Times New Roman"/>
              </w:rPr>
            </w:pPr>
          </w:p>
        </w:tc>
      </w:tr>
      <w:tr w:rsidR="000C10E3" w:rsidRPr="001358F4" w14:paraId="58553112" w14:textId="77777777">
        <w:trPr>
          <w:trHeight w:val="580"/>
        </w:trPr>
        <w:tc>
          <w:tcPr>
            <w:tcW w:w="6435" w:type="dxa"/>
          </w:tcPr>
          <w:p w14:paraId="21A2D39B" w14:textId="7A10A6A8" w:rsidR="000E2E95" w:rsidRPr="001358F4" w:rsidRDefault="001358F4" w:rsidP="001358F4">
            <w:pPr>
              <w:pStyle w:val="TableParagraph"/>
              <w:spacing w:before="1"/>
              <w:ind w:left="107"/>
              <w:jc w:val="both"/>
              <w:rPr>
                <w:lang w:val="fr-FR"/>
              </w:rPr>
            </w:pPr>
            <w:r w:rsidRPr="001358F4">
              <w:rPr>
                <w:lang w:val="fr-FR"/>
              </w:rPr>
              <w:t>Étape 9 : À la fin de la journée, laver tous les équipements réutilisables (forceps, porte-filtres, seringues, récipients d’urine, lamelles de verre) dans une solution à 1 %</w:t>
            </w:r>
          </w:p>
        </w:tc>
        <w:tc>
          <w:tcPr>
            <w:tcW w:w="2916" w:type="dxa"/>
          </w:tcPr>
          <w:p w14:paraId="7E9C96E1" w14:textId="77777777" w:rsidR="000E2E95" w:rsidRPr="001358F4" w:rsidRDefault="000E2E95" w:rsidP="00CE74C2">
            <w:pPr>
              <w:pStyle w:val="TableParagraph"/>
              <w:jc w:val="both"/>
              <w:rPr>
                <w:rFonts w:ascii="Times New Roman"/>
                <w:lang w:val="fr-FR"/>
              </w:rPr>
            </w:pPr>
          </w:p>
        </w:tc>
      </w:tr>
    </w:tbl>
    <w:p w14:paraId="574858C7" w14:textId="77777777" w:rsidR="000E2E95" w:rsidRPr="001358F4" w:rsidRDefault="000E2E95" w:rsidP="00CE74C2">
      <w:pPr>
        <w:jc w:val="both"/>
        <w:rPr>
          <w:rFonts w:ascii="Times New Roman"/>
          <w:lang w:val="fr-FR"/>
        </w:rPr>
        <w:sectPr w:rsidR="000E2E95" w:rsidRPr="001358F4" w:rsidSect="008622E9">
          <w:type w:val="continuous"/>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5"/>
        <w:gridCol w:w="2916"/>
      </w:tblGrid>
      <w:tr w:rsidR="000C10E3" w:rsidRPr="001358F4" w14:paraId="2CFB40E0" w14:textId="77777777">
        <w:trPr>
          <w:trHeight w:val="738"/>
        </w:trPr>
        <w:tc>
          <w:tcPr>
            <w:tcW w:w="6435" w:type="dxa"/>
          </w:tcPr>
          <w:p w14:paraId="0D82B0F3" w14:textId="5F112DFE" w:rsidR="000E2E95" w:rsidRPr="001358F4" w:rsidRDefault="001358F4" w:rsidP="001358F4">
            <w:pPr>
              <w:pStyle w:val="TableParagraph"/>
              <w:spacing w:line="259" w:lineRule="auto"/>
              <w:ind w:left="107" w:right="111"/>
              <w:jc w:val="both"/>
              <w:rPr>
                <w:lang w:val="fr-FR"/>
              </w:rPr>
            </w:pPr>
            <w:proofErr w:type="gramStart"/>
            <w:r w:rsidRPr="001358F4">
              <w:rPr>
                <w:lang w:val="fr-FR"/>
              </w:rPr>
              <w:t>d’hypochlorite</w:t>
            </w:r>
            <w:proofErr w:type="gramEnd"/>
            <w:r w:rsidRPr="001358F4">
              <w:rPr>
                <w:lang w:val="fr-FR"/>
              </w:rPr>
              <w:t xml:space="preserve"> (eau de Javel) pour les utiliser le jour suivant ; jeter les filtres utilisés et nettoyer le plan de travail</w:t>
            </w:r>
            <w:r w:rsidR="00DB0A1C" w:rsidRPr="001358F4">
              <w:rPr>
                <w:lang w:val="fr-FR"/>
              </w:rPr>
              <w:t>.</w:t>
            </w:r>
          </w:p>
        </w:tc>
        <w:tc>
          <w:tcPr>
            <w:tcW w:w="2916" w:type="dxa"/>
          </w:tcPr>
          <w:p w14:paraId="69CB07E8" w14:textId="77777777" w:rsidR="000E2E95" w:rsidRPr="001358F4" w:rsidRDefault="000E2E95" w:rsidP="00CE74C2">
            <w:pPr>
              <w:pStyle w:val="TableParagraph"/>
              <w:jc w:val="both"/>
              <w:rPr>
                <w:rFonts w:ascii="Times New Roman"/>
                <w:lang w:val="fr-FR"/>
              </w:rPr>
            </w:pPr>
          </w:p>
        </w:tc>
      </w:tr>
      <w:tr w:rsidR="000C10E3" w14:paraId="6AB5D88D" w14:textId="77777777">
        <w:trPr>
          <w:trHeight w:val="1031"/>
        </w:trPr>
        <w:tc>
          <w:tcPr>
            <w:tcW w:w="9351" w:type="dxa"/>
            <w:gridSpan w:val="2"/>
          </w:tcPr>
          <w:p w14:paraId="3DF492F0" w14:textId="77777777" w:rsidR="000E2E95" w:rsidRPr="005669CE" w:rsidRDefault="00DB0A1C" w:rsidP="00CE74C2">
            <w:pPr>
              <w:pStyle w:val="TableParagraph"/>
              <w:spacing w:before="1" w:line="259" w:lineRule="auto"/>
              <w:ind w:left="107" w:right="131"/>
              <w:jc w:val="both"/>
              <w:rPr>
                <w:b/>
              </w:rPr>
            </w:pPr>
            <w:r w:rsidRPr="005669CE">
              <w:rPr>
                <w:b/>
                <w:bCs/>
                <w:lang w:val="fr-FR"/>
              </w:rPr>
              <w:t>IMPORTANT : Lire la lame dans l’heure qui suit le prélèvement de l’échantillon d’urine, afin d’éviter que les œufs ne soient pas viables et deviennent translucides. Ne pas laisser les échantillons exposés au soleil. Si les échantillons ne peuvent pas être lus immédiatement, les conserver au réfrigérateur.</w:t>
            </w:r>
          </w:p>
        </w:tc>
      </w:tr>
    </w:tbl>
    <w:p w14:paraId="5D41917B" w14:textId="77777777" w:rsidR="00222CDA" w:rsidRPr="005669CE" w:rsidRDefault="00222CDA" w:rsidP="00CE74C2">
      <w:pPr>
        <w:pStyle w:val="Heading5"/>
        <w:spacing w:before="20"/>
        <w:jc w:val="both"/>
        <w:rPr>
          <w:spacing w:val="-2"/>
        </w:rPr>
      </w:pPr>
    </w:p>
    <w:p w14:paraId="377709FB" w14:textId="77777777" w:rsidR="000E2E95" w:rsidRPr="005669CE" w:rsidRDefault="00DB0A1C" w:rsidP="00CE74C2">
      <w:pPr>
        <w:pStyle w:val="Heading5"/>
        <w:spacing w:before="20"/>
        <w:jc w:val="both"/>
      </w:pPr>
      <w:r w:rsidRPr="005669CE">
        <w:rPr>
          <w:spacing w:val="-2"/>
          <w:lang w:val="fr-FR"/>
        </w:rPr>
        <w:t xml:space="preserve">Remarque : </w:t>
      </w:r>
    </w:p>
    <w:p w14:paraId="6CC6A40B" w14:textId="77777777" w:rsidR="000E2E95" w:rsidRPr="005669CE" w:rsidRDefault="00DB0A1C" w:rsidP="00341A0D">
      <w:pPr>
        <w:pStyle w:val="BodyText"/>
      </w:pPr>
      <w:r w:rsidRPr="005669CE">
        <w:rPr>
          <w:lang w:val="fr-FR"/>
        </w:rPr>
        <w:t>10 % de toutes les lames doivent être sélectionnées de manière aléatoire et réexaminées par un technicien plus expérimenté. Les résultats sont considérés comme divergents si les différences dans le nombre d’œufs sont les suivantes :</w:t>
      </w:r>
    </w:p>
    <w:p w14:paraId="1B902D3D" w14:textId="77777777" w:rsidR="000E2E95" w:rsidRPr="005669CE" w:rsidRDefault="00DB0A1C" w:rsidP="00CE74C2">
      <w:pPr>
        <w:pStyle w:val="ListParagraph"/>
        <w:numPr>
          <w:ilvl w:val="1"/>
          <w:numId w:val="4"/>
        </w:numPr>
        <w:tabs>
          <w:tab w:val="left" w:pos="833"/>
        </w:tabs>
        <w:spacing w:before="162"/>
        <w:ind w:hanging="355"/>
        <w:jc w:val="both"/>
      </w:pPr>
      <w:r w:rsidRPr="005669CE">
        <w:rPr>
          <w:lang w:val="fr-FR"/>
        </w:rPr>
        <w:t>Pour les décomptes inférieurs à 50 œufs : plus de ±5 œufs</w:t>
      </w:r>
    </w:p>
    <w:p w14:paraId="05243EBA" w14:textId="77777777" w:rsidR="000E2E95" w:rsidRPr="005669CE" w:rsidRDefault="00DB0A1C" w:rsidP="00CE74C2">
      <w:pPr>
        <w:pStyle w:val="ListParagraph"/>
        <w:numPr>
          <w:ilvl w:val="1"/>
          <w:numId w:val="4"/>
        </w:numPr>
        <w:tabs>
          <w:tab w:val="left" w:pos="833"/>
        </w:tabs>
        <w:spacing w:before="140"/>
        <w:ind w:hanging="355"/>
        <w:jc w:val="both"/>
      </w:pPr>
      <w:r w:rsidRPr="005669CE">
        <w:rPr>
          <w:lang w:val="fr-FR"/>
        </w:rPr>
        <w:t>Pour les décomptes supérieurs à 50 œufs : plus de 10 % des œufs</w:t>
      </w:r>
    </w:p>
    <w:p w14:paraId="5A871692" w14:textId="77777777" w:rsidR="000E2E95" w:rsidRPr="005669CE" w:rsidRDefault="00DB0A1C" w:rsidP="00CE74C2">
      <w:pPr>
        <w:pStyle w:val="ListParagraph"/>
        <w:numPr>
          <w:ilvl w:val="1"/>
          <w:numId w:val="4"/>
        </w:numPr>
        <w:tabs>
          <w:tab w:val="left" w:pos="833"/>
        </w:tabs>
        <w:spacing w:before="142"/>
        <w:ind w:hanging="355"/>
        <w:jc w:val="both"/>
      </w:pPr>
      <w:r w:rsidRPr="005669CE">
        <w:rPr>
          <w:lang w:val="fr-FR"/>
        </w:rPr>
        <w:t>Différence entre les œufs positifs et les œufs négatifs</w:t>
      </w:r>
    </w:p>
    <w:p w14:paraId="0B79D74D" w14:textId="77777777" w:rsidR="000E2E95" w:rsidRPr="005669CE" w:rsidRDefault="00DB0A1C" w:rsidP="00341A0D">
      <w:pPr>
        <w:pStyle w:val="BodyText"/>
      </w:pPr>
      <w:r w:rsidRPr="005669CE">
        <w:rPr>
          <w:lang w:val="fr-FR"/>
        </w:rPr>
        <w:t>Les lames discordantes sont relues une nouvelle fois par un troisième technicien et la décision finale quant aux résultats est prise sur la base des trois lectures. Si plus de 50 % des lames de contrôle qualité sont discordantes sur plusieurs jours, le technicien principal doit procéder à une nouvelle formation et discuter avec le responsable de l’équipe d’évaluation des conséquences appropriées.</w:t>
      </w:r>
    </w:p>
    <w:p w14:paraId="5C456CE7" w14:textId="77777777" w:rsidR="000E2E95" w:rsidRPr="005669CE" w:rsidRDefault="000E2E95" w:rsidP="00CE74C2">
      <w:pPr>
        <w:spacing w:line="259" w:lineRule="auto"/>
        <w:jc w:val="both"/>
        <w:sectPr w:rsidR="000E2E95" w:rsidRPr="005669CE" w:rsidSect="008622E9">
          <w:type w:val="continuous"/>
          <w:pgSz w:w="12240" w:h="15840"/>
          <w:pgMar w:top="1440" w:right="1077" w:bottom="1440" w:left="1077" w:header="720" w:footer="720" w:gutter="0"/>
          <w:cols w:space="720"/>
        </w:sectPr>
      </w:pPr>
    </w:p>
    <w:p w14:paraId="6E6FC224" w14:textId="77777777" w:rsidR="000E2E95" w:rsidRPr="005669CE" w:rsidRDefault="00DB0A1C" w:rsidP="00CE74C2">
      <w:pPr>
        <w:pStyle w:val="Heading1"/>
        <w:jc w:val="both"/>
      </w:pPr>
      <w:bookmarkStart w:id="81" w:name="_bookmark34"/>
      <w:bookmarkStart w:id="82" w:name="_Appendix_5:_Kato"/>
      <w:bookmarkStart w:id="83" w:name="_Toc181011894"/>
      <w:bookmarkEnd w:id="81"/>
      <w:bookmarkEnd w:id="82"/>
      <w:r w:rsidRPr="005669CE">
        <w:rPr>
          <w:color w:val="1F3863"/>
          <w:lang w:val="fr-FR"/>
        </w:rPr>
        <w:lastRenderedPageBreak/>
        <w:t>Annexe 5 : Mode opératoire normalisé pour la technique de Kato Katz</w:t>
      </w:r>
      <w:bookmarkEnd w:id="83"/>
    </w:p>
    <w:p w14:paraId="5077D251" w14:textId="77777777" w:rsidR="000E2E95" w:rsidRPr="005669CE" w:rsidRDefault="00DB0A1C" w:rsidP="00CE74C2">
      <w:pPr>
        <w:spacing w:before="159"/>
        <w:ind w:left="120"/>
        <w:jc w:val="both"/>
      </w:pPr>
      <w:r w:rsidRPr="005669CE">
        <w:rPr>
          <w:i/>
          <w:iCs/>
          <w:lang w:val="fr-FR"/>
        </w:rPr>
        <w:t xml:space="preserve">Diagnostic de : S. </w:t>
      </w:r>
      <w:proofErr w:type="spellStart"/>
      <w:r w:rsidRPr="005669CE">
        <w:rPr>
          <w:i/>
          <w:iCs/>
          <w:lang w:val="fr-FR"/>
        </w:rPr>
        <w:t>mansoni</w:t>
      </w:r>
      <w:proofErr w:type="spellEnd"/>
      <w:r w:rsidRPr="005669CE">
        <w:rPr>
          <w:i/>
          <w:iCs/>
          <w:lang w:val="fr-FR"/>
        </w:rPr>
        <w:t xml:space="preserve">, T. </w:t>
      </w:r>
      <w:proofErr w:type="spellStart"/>
      <w:r w:rsidRPr="005669CE">
        <w:rPr>
          <w:i/>
          <w:iCs/>
          <w:lang w:val="fr-FR"/>
        </w:rPr>
        <w:t>trichiura</w:t>
      </w:r>
      <w:proofErr w:type="spellEnd"/>
      <w:r w:rsidRPr="005669CE">
        <w:rPr>
          <w:i/>
          <w:iCs/>
          <w:lang w:val="fr-FR"/>
        </w:rPr>
        <w:t xml:space="preserve">, A. </w:t>
      </w:r>
      <w:proofErr w:type="spellStart"/>
      <w:r w:rsidRPr="005669CE">
        <w:rPr>
          <w:i/>
          <w:iCs/>
          <w:lang w:val="fr-FR"/>
        </w:rPr>
        <w:t>lumbricoides</w:t>
      </w:r>
      <w:proofErr w:type="spellEnd"/>
      <w:r w:rsidRPr="005669CE">
        <w:rPr>
          <w:i/>
          <w:iCs/>
          <w:lang w:val="fr-FR"/>
        </w:rPr>
        <w:t xml:space="preserve">, </w:t>
      </w:r>
      <w:r w:rsidRPr="005669CE">
        <w:rPr>
          <w:lang w:val="fr-FR"/>
        </w:rPr>
        <w:t xml:space="preserve">and </w:t>
      </w:r>
      <w:proofErr w:type="spellStart"/>
      <w:r w:rsidRPr="005669CE">
        <w:rPr>
          <w:lang w:val="fr-FR"/>
        </w:rPr>
        <w:t>hookworm</w:t>
      </w:r>
      <w:proofErr w:type="spellEnd"/>
      <w:r w:rsidRPr="005669CE">
        <w:rPr>
          <w:lang w:val="fr-FR"/>
        </w:rPr>
        <w:t xml:space="preserve"> (</w:t>
      </w:r>
      <w:r w:rsidRPr="005669CE">
        <w:rPr>
          <w:i/>
          <w:iCs/>
          <w:lang w:val="fr-FR"/>
        </w:rPr>
        <w:t xml:space="preserve">A. </w:t>
      </w:r>
      <w:proofErr w:type="spellStart"/>
      <w:r w:rsidRPr="005669CE">
        <w:rPr>
          <w:i/>
          <w:iCs/>
          <w:lang w:val="fr-FR"/>
        </w:rPr>
        <w:t>duodenale</w:t>
      </w:r>
      <w:proofErr w:type="spellEnd"/>
      <w:r w:rsidRPr="005669CE">
        <w:rPr>
          <w:i/>
          <w:iCs/>
          <w:lang w:val="fr-FR"/>
        </w:rPr>
        <w:t xml:space="preserve"> et N. </w:t>
      </w:r>
      <w:proofErr w:type="spellStart"/>
      <w:r w:rsidRPr="005669CE">
        <w:rPr>
          <w:i/>
          <w:iCs/>
          <w:lang w:val="fr-FR"/>
        </w:rPr>
        <w:t>americanus</w:t>
      </w:r>
      <w:proofErr w:type="spellEnd"/>
      <w:r w:rsidRPr="005669CE">
        <w:rPr>
          <w:lang w:val="fr-FR"/>
        </w:rPr>
        <w:t>)</w:t>
      </w:r>
    </w:p>
    <w:p w14:paraId="1FCC555B" w14:textId="77777777" w:rsidR="000E2E95" w:rsidRPr="005669CE" w:rsidRDefault="00DB0A1C" w:rsidP="00341A0D">
      <w:pPr>
        <w:pStyle w:val="BodyText"/>
      </w:pPr>
      <w:r w:rsidRPr="005669CE">
        <w:rPr>
          <w:b/>
          <w:bCs/>
          <w:lang w:val="fr-FR"/>
        </w:rPr>
        <w:t xml:space="preserve">Principe général : </w:t>
      </w:r>
      <w:r w:rsidRPr="005669CE">
        <w:rPr>
          <w:lang w:val="fr-FR"/>
        </w:rPr>
        <w:t>les personnes infectées par des helminthes transmis par le sol (STH) ou des schistosomes intestinaux transmettent les œufs des vers dans leurs selles. En examinant un échantillon de selles au microscope, il est possible de compter le nombre et le type d’œufs présents.</w:t>
      </w:r>
    </w:p>
    <w:p w14:paraId="7CF3350F" w14:textId="77777777" w:rsidR="000E2E95" w:rsidRPr="005669CE" w:rsidRDefault="00DB0A1C" w:rsidP="00CE74C2">
      <w:pPr>
        <w:spacing w:before="160"/>
        <w:ind w:left="120"/>
        <w:jc w:val="both"/>
        <w:rPr>
          <w:b/>
        </w:rPr>
      </w:pPr>
      <w:r w:rsidRPr="005669CE">
        <w:rPr>
          <w:b/>
          <w:bCs/>
          <w:u w:val="single"/>
          <w:lang w:val="fr-FR"/>
        </w:rPr>
        <w:t>Précautions de sécurité</w:t>
      </w:r>
    </w:p>
    <w:p w14:paraId="194778B6" w14:textId="77777777" w:rsidR="000E2E95" w:rsidRPr="005669CE" w:rsidRDefault="00DB0A1C" w:rsidP="00CE74C2">
      <w:pPr>
        <w:pStyle w:val="ListParagraph"/>
        <w:numPr>
          <w:ilvl w:val="0"/>
          <w:numId w:val="4"/>
        </w:numPr>
        <w:tabs>
          <w:tab w:val="left" w:pos="289"/>
        </w:tabs>
        <w:spacing w:before="182"/>
        <w:ind w:left="289" w:hanging="169"/>
        <w:jc w:val="both"/>
      </w:pPr>
      <w:r w:rsidRPr="005669CE">
        <w:rPr>
          <w:lang w:val="fr-FR"/>
        </w:rPr>
        <w:t>Les selles doivent être considérées comme potentiellement infectieuses.</w:t>
      </w:r>
    </w:p>
    <w:p w14:paraId="65EEA61F" w14:textId="77777777" w:rsidR="000E2E95" w:rsidRPr="005669CE" w:rsidRDefault="00DB0A1C" w:rsidP="00CE74C2">
      <w:pPr>
        <w:pStyle w:val="ListParagraph"/>
        <w:numPr>
          <w:ilvl w:val="0"/>
          <w:numId w:val="4"/>
        </w:numPr>
        <w:tabs>
          <w:tab w:val="left" w:pos="289"/>
        </w:tabs>
        <w:spacing w:before="181"/>
        <w:ind w:left="289" w:hanging="169"/>
        <w:jc w:val="both"/>
      </w:pPr>
      <w:r w:rsidRPr="005669CE">
        <w:rPr>
          <w:lang w:val="fr-FR"/>
        </w:rPr>
        <w:t>Porter des gants et des blouses de laboratoire à chaque manipulation des échantillons de selles.</w:t>
      </w:r>
    </w:p>
    <w:p w14:paraId="0F67E275" w14:textId="77777777" w:rsidR="000E2E95" w:rsidRPr="005669CE" w:rsidRDefault="00DB0A1C" w:rsidP="00CE74C2">
      <w:pPr>
        <w:pStyle w:val="ListParagraph"/>
        <w:numPr>
          <w:ilvl w:val="0"/>
          <w:numId w:val="4"/>
        </w:numPr>
        <w:tabs>
          <w:tab w:val="left" w:pos="289"/>
        </w:tabs>
        <w:spacing w:before="180" w:line="259" w:lineRule="auto"/>
        <w:ind w:right="1652" w:firstLine="0"/>
        <w:jc w:val="both"/>
      </w:pPr>
      <w:r w:rsidRPr="005669CE">
        <w:rPr>
          <w:lang w:val="fr-FR"/>
        </w:rPr>
        <w:t>Les plans de travail, instruments et équipements doivent être désinfectés régulièrement à l’aide de désinfectants après chaque utilisation.</w:t>
      </w:r>
    </w:p>
    <w:p w14:paraId="1F676B43" w14:textId="77777777" w:rsidR="000E2E95" w:rsidRPr="005669CE" w:rsidRDefault="00DB0A1C" w:rsidP="00CE74C2">
      <w:pPr>
        <w:pStyle w:val="ListParagraph"/>
        <w:numPr>
          <w:ilvl w:val="0"/>
          <w:numId w:val="4"/>
        </w:numPr>
        <w:tabs>
          <w:tab w:val="left" w:pos="289"/>
        </w:tabs>
        <w:spacing w:before="162"/>
        <w:ind w:left="289" w:hanging="169"/>
        <w:jc w:val="both"/>
      </w:pPr>
      <w:r w:rsidRPr="005669CE">
        <w:rPr>
          <w:lang w:val="fr-FR"/>
        </w:rPr>
        <w:t>Les matières contaminées par des déchets infectieux doivent être désinfectées avant d’être éliminées.</w:t>
      </w:r>
    </w:p>
    <w:p w14:paraId="5D8AAB20" w14:textId="77777777" w:rsidR="000E2E95" w:rsidRPr="005669CE" w:rsidRDefault="00DB0A1C" w:rsidP="00CE74C2">
      <w:pPr>
        <w:pStyle w:val="ListParagraph"/>
        <w:numPr>
          <w:ilvl w:val="0"/>
          <w:numId w:val="4"/>
        </w:numPr>
        <w:tabs>
          <w:tab w:val="left" w:pos="289"/>
        </w:tabs>
        <w:spacing w:before="180"/>
        <w:ind w:left="289" w:hanging="169"/>
        <w:jc w:val="both"/>
      </w:pPr>
      <w:r w:rsidRPr="005669CE">
        <w:rPr>
          <w:lang w:val="fr-FR"/>
        </w:rPr>
        <w:t>Il est interdit de boire ou de manger pendant les procédures de laboratoire.</w:t>
      </w:r>
    </w:p>
    <w:p w14:paraId="2BD3D6E6" w14:textId="77777777" w:rsidR="000E2E95" w:rsidRPr="005669CE" w:rsidRDefault="00DB0A1C" w:rsidP="00CE74C2">
      <w:pPr>
        <w:pStyle w:val="ListParagraph"/>
        <w:numPr>
          <w:ilvl w:val="0"/>
          <w:numId w:val="4"/>
        </w:numPr>
        <w:tabs>
          <w:tab w:val="left" w:pos="289"/>
        </w:tabs>
        <w:spacing w:before="180" w:line="259" w:lineRule="auto"/>
        <w:ind w:right="1494" w:firstLine="0"/>
        <w:jc w:val="both"/>
      </w:pPr>
      <w:r w:rsidRPr="005669CE">
        <w:rPr>
          <w:lang w:val="fr-FR"/>
        </w:rPr>
        <w:t>Il convient d’utiliser un ou plusieurs désinfectant(s) pour éliminer les matières contaminées, les spatules en bois et les récipients des échantillons, et pour nettoyer les plans de travail.</w:t>
      </w:r>
    </w:p>
    <w:p w14:paraId="78E7FB16" w14:textId="77777777" w:rsidR="000E2E95" w:rsidRPr="005669CE" w:rsidRDefault="00DB0A1C" w:rsidP="00CE74C2">
      <w:pPr>
        <w:pStyle w:val="ListParagraph"/>
        <w:numPr>
          <w:ilvl w:val="0"/>
          <w:numId w:val="4"/>
        </w:numPr>
        <w:tabs>
          <w:tab w:val="left" w:pos="289"/>
        </w:tabs>
        <w:spacing w:before="162"/>
        <w:ind w:left="289" w:hanging="169"/>
        <w:jc w:val="both"/>
      </w:pPr>
      <w:r w:rsidRPr="005669CE">
        <w:rPr>
          <w:lang w:val="fr-FR"/>
        </w:rPr>
        <w:t>Les récipients d’échantillons utilisés doivent être désinfectés avant d’être lavés.</w:t>
      </w:r>
    </w:p>
    <w:p w14:paraId="76986A68" w14:textId="77777777" w:rsidR="000E2E95" w:rsidRPr="006E42B7" w:rsidRDefault="000E2E95" w:rsidP="00341A0D">
      <w:pPr>
        <w:pStyle w:val="BodyText"/>
        <w:rPr>
          <w:sz w:val="20"/>
          <w:szCs w:val="20"/>
        </w:rPr>
      </w:pPr>
    </w:p>
    <w:p w14:paraId="50371BE1" w14:textId="77777777" w:rsidR="000E2E95" w:rsidRPr="006E42B7" w:rsidRDefault="000E2E95" w:rsidP="00341A0D">
      <w:pPr>
        <w:pStyle w:val="BodyText"/>
        <w:rPr>
          <w:sz w:val="20"/>
          <w:szCs w:val="20"/>
        </w:rPr>
      </w:pPr>
    </w:p>
    <w:p w14:paraId="6D356991" w14:textId="77777777" w:rsidR="000E2E95" w:rsidRPr="005669CE" w:rsidRDefault="00DB0A1C" w:rsidP="00CE74C2">
      <w:pPr>
        <w:ind w:left="120"/>
        <w:jc w:val="both"/>
        <w:rPr>
          <w:b/>
        </w:rPr>
      </w:pPr>
      <w:r w:rsidRPr="005669CE">
        <w:rPr>
          <w:b/>
          <w:bCs/>
          <w:u w:val="single"/>
          <w:lang w:val="fr-FR"/>
        </w:rPr>
        <w:t>Équipements pour la technique Kato-Katz</w:t>
      </w:r>
    </w:p>
    <w:p w14:paraId="351FCFEB" w14:textId="77777777" w:rsidR="000E2E95" w:rsidRPr="005669CE" w:rsidRDefault="00DB0A1C" w:rsidP="00CE74C2">
      <w:pPr>
        <w:pStyle w:val="ListParagraph"/>
        <w:numPr>
          <w:ilvl w:val="0"/>
          <w:numId w:val="4"/>
        </w:numPr>
        <w:tabs>
          <w:tab w:val="left" w:pos="289"/>
        </w:tabs>
        <w:spacing w:before="183"/>
        <w:ind w:left="289" w:hanging="169"/>
        <w:jc w:val="both"/>
      </w:pPr>
      <w:proofErr w:type="gramStart"/>
      <w:r w:rsidRPr="005669CE">
        <w:rPr>
          <w:lang w:val="fr-FR"/>
        </w:rPr>
        <w:t>échantillon</w:t>
      </w:r>
      <w:proofErr w:type="gramEnd"/>
      <w:r w:rsidRPr="005669CE">
        <w:rPr>
          <w:lang w:val="fr-FR"/>
        </w:rPr>
        <w:t xml:space="preserve"> de </w:t>
      </w:r>
      <w:proofErr w:type="spellStart"/>
      <w:r w:rsidRPr="005669CE">
        <w:rPr>
          <w:lang w:val="fr-FR"/>
        </w:rPr>
        <w:t>selles</w:t>
      </w:r>
      <w:proofErr w:type="spellEnd"/>
      <w:r w:rsidRPr="005669CE">
        <w:rPr>
          <w:lang w:val="fr-FR"/>
        </w:rPr>
        <w:t xml:space="preserve"> contenues dans le récipient (des carrés de polythène liés par de l’herbe ou un pot en plastique)</w:t>
      </w:r>
    </w:p>
    <w:p w14:paraId="2078481C" w14:textId="77777777" w:rsidR="000E2E95" w:rsidRPr="005669CE" w:rsidRDefault="00DB0A1C" w:rsidP="00CE74C2">
      <w:pPr>
        <w:pStyle w:val="ListParagraph"/>
        <w:numPr>
          <w:ilvl w:val="0"/>
          <w:numId w:val="4"/>
        </w:numPr>
        <w:tabs>
          <w:tab w:val="left" w:pos="289"/>
        </w:tabs>
        <w:spacing w:before="180"/>
        <w:ind w:left="289" w:hanging="169"/>
        <w:jc w:val="both"/>
      </w:pPr>
      <w:r w:rsidRPr="005669CE">
        <w:rPr>
          <w:lang w:val="fr-FR"/>
        </w:rPr>
        <w:t>Feuilles de cellophane (hydrophiles, 30 - 50 µm d’épaisseur)</w:t>
      </w:r>
    </w:p>
    <w:p w14:paraId="41731690" w14:textId="77777777" w:rsidR="000E2E95" w:rsidRPr="005669CE" w:rsidRDefault="00DB0A1C" w:rsidP="00CE74C2">
      <w:pPr>
        <w:pStyle w:val="ListParagraph"/>
        <w:numPr>
          <w:ilvl w:val="0"/>
          <w:numId w:val="4"/>
        </w:numPr>
        <w:tabs>
          <w:tab w:val="left" w:pos="289"/>
        </w:tabs>
        <w:spacing w:before="183"/>
        <w:ind w:left="289" w:hanging="169"/>
        <w:jc w:val="both"/>
      </w:pPr>
      <w:r w:rsidRPr="005669CE">
        <w:rPr>
          <w:lang w:val="fr-FR"/>
        </w:rPr>
        <w:t>Vert de malachite (ou bleu de méthylène)</w:t>
      </w:r>
    </w:p>
    <w:p w14:paraId="77357B95" w14:textId="77777777" w:rsidR="000E2E95" w:rsidRPr="005669CE" w:rsidRDefault="00DB0A1C" w:rsidP="00CE74C2">
      <w:pPr>
        <w:pStyle w:val="ListParagraph"/>
        <w:numPr>
          <w:ilvl w:val="0"/>
          <w:numId w:val="4"/>
        </w:numPr>
        <w:tabs>
          <w:tab w:val="left" w:pos="289"/>
        </w:tabs>
        <w:spacing w:before="181"/>
        <w:ind w:left="289" w:hanging="169"/>
        <w:jc w:val="both"/>
      </w:pPr>
      <w:r w:rsidRPr="005669CE">
        <w:rPr>
          <w:lang w:val="fr-FR"/>
        </w:rPr>
        <w:t>Glycérol</w:t>
      </w:r>
    </w:p>
    <w:p w14:paraId="59D30B33" w14:textId="77777777" w:rsidR="000E2E95" w:rsidRPr="005669CE" w:rsidRDefault="00DB0A1C" w:rsidP="00CE74C2">
      <w:pPr>
        <w:pStyle w:val="ListParagraph"/>
        <w:numPr>
          <w:ilvl w:val="0"/>
          <w:numId w:val="4"/>
        </w:numPr>
        <w:tabs>
          <w:tab w:val="left" w:pos="289"/>
        </w:tabs>
        <w:spacing w:before="182"/>
        <w:ind w:left="289" w:hanging="169"/>
        <w:jc w:val="both"/>
      </w:pPr>
      <w:r w:rsidRPr="005669CE">
        <w:rPr>
          <w:lang w:val="fr-FR"/>
        </w:rPr>
        <w:t>Tamis métallique (tamis d’</w:t>
      </w:r>
      <w:proofErr w:type="spellStart"/>
      <w:r w:rsidRPr="005669CE">
        <w:rPr>
          <w:lang w:val="fr-FR"/>
        </w:rPr>
        <w:t>Endecott</w:t>
      </w:r>
      <w:proofErr w:type="spellEnd"/>
      <w:r w:rsidRPr="005669CE">
        <w:rPr>
          <w:lang w:val="fr-FR"/>
        </w:rPr>
        <w:t>) avec un maillage de 200 à 250 µm OU filet en nylon avec un maillage allant jusqu’à 300 µm.</w:t>
      </w:r>
    </w:p>
    <w:p w14:paraId="106177FA" w14:textId="77777777" w:rsidR="000E2E95" w:rsidRPr="005669CE" w:rsidRDefault="00DB0A1C" w:rsidP="00CE74C2">
      <w:pPr>
        <w:pStyle w:val="ListParagraph"/>
        <w:numPr>
          <w:ilvl w:val="0"/>
          <w:numId w:val="4"/>
        </w:numPr>
        <w:tabs>
          <w:tab w:val="left" w:pos="289"/>
        </w:tabs>
        <w:spacing w:before="181"/>
        <w:ind w:left="289" w:hanging="169"/>
        <w:jc w:val="both"/>
      </w:pPr>
      <w:r w:rsidRPr="005669CE">
        <w:rPr>
          <w:lang w:val="fr-FR"/>
        </w:rPr>
        <w:t>Étuis pour lamelles</w:t>
      </w:r>
    </w:p>
    <w:p w14:paraId="06445A23" w14:textId="77777777" w:rsidR="000E2E95" w:rsidRPr="005669CE" w:rsidRDefault="00DB0A1C" w:rsidP="00CE74C2">
      <w:pPr>
        <w:pStyle w:val="ListParagraph"/>
        <w:numPr>
          <w:ilvl w:val="0"/>
          <w:numId w:val="4"/>
        </w:numPr>
        <w:tabs>
          <w:tab w:val="left" w:pos="289"/>
        </w:tabs>
        <w:spacing w:before="180"/>
        <w:ind w:left="289" w:hanging="169"/>
        <w:jc w:val="both"/>
      </w:pPr>
      <w:r w:rsidRPr="005669CE">
        <w:rPr>
          <w:lang w:val="fr-FR"/>
        </w:rPr>
        <w:t>Lamelles de verre pour microscope</w:t>
      </w:r>
    </w:p>
    <w:p w14:paraId="0742998E" w14:textId="77777777" w:rsidR="000E2E95" w:rsidRPr="005669CE" w:rsidRDefault="00DB0A1C" w:rsidP="00CE74C2">
      <w:pPr>
        <w:pStyle w:val="ListParagraph"/>
        <w:numPr>
          <w:ilvl w:val="0"/>
          <w:numId w:val="4"/>
        </w:numPr>
        <w:tabs>
          <w:tab w:val="left" w:pos="289"/>
        </w:tabs>
        <w:spacing w:before="182"/>
        <w:ind w:left="289" w:hanging="169"/>
        <w:jc w:val="both"/>
      </w:pPr>
      <w:r w:rsidRPr="005669CE">
        <w:rPr>
          <w:lang w:val="fr-FR"/>
        </w:rPr>
        <w:t>Journaux</w:t>
      </w:r>
    </w:p>
    <w:p w14:paraId="21098FD7" w14:textId="77777777" w:rsidR="000E2E95" w:rsidRPr="005669CE" w:rsidRDefault="00DB0A1C" w:rsidP="00CE74C2">
      <w:pPr>
        <w:pStyle w:val="ListParagraph"/>
        <w:numPr>
          <w:ilvl w:val="0"/>
          <w:numId w:val="4"/>
        </w:numPr>
        <w:tabs>
          <w:tab w:val="left" w:pos="289"/>
        </w:tabs>
        <w:spacing w:before="181"/>
        <w:ind w:left="289" w:hanging="169"/>
        <w:jc w:val="both"/>
      </w:pPr>
      <w:r w:rsidRPr="005669CE">
        <w:rPr>
          <w:lang w:val="fr-FR"/>
        </w:rPr>
        <w:t>Spatules/Applicateurs en bois ou en plastique</w:t>
      </w:r>
    </w:p>
    <w:p w14:paraId="06DFE7E0" w14:textId="77777777" w:rsidR="000E2E95" w:rsidRPr="005669CE" w:rsidRDefault="00DB0A1C" w:rsidP="00CE74C2">
      <w:pPr>
        <w:pStyle w:val="ListParagraph"/>
        <w:numPr>
          <w:ilvl w:val="0"/>
          <w:numId w:val="4"/>
        </w:numPr>
        <w:tabs>
          <w:tab w:val="left" w:pos="289"/>
        </w:tabs>
        <w:spacing w:before="182"/>
        <w:ind w:left="289" w:hanging="169"/>
        <w:jc w:val="both"/>
      </w:pPr>
      <w:r w:rsidRPr="005669CE">
        <w:rPr>
          <w:lang w:val="fr-FR"/>
        </w:rPr>
        <w:t>Forceps</w:t>
      </w:r>
    </w:p>
    <w:p w14:paraId="56CF3BC3" w14:textId="77777777" w:rsidR="000E2E95" w:rsidRPr="005669CE" w:rsidRDefault="00DB0A1C" w:rsidP="00CE74C2">
      <w:pPr>
        <w:pStyle w:val="ListParagraph"/>
        <w:numPr>
          <w:ilvl w:val="0"/>
          <w:numId w:val="4"/>
        </w:numPr>
        <w:tabs>
          <w:tab w:val="left" w:pos="289"/>
        </w:tabs>
        <w:spacing w:before="181" w:line="259" w:lineRule="auto"/>
        <w:ind w:right="1881" w:firstLine="0"/>
        <w:jc w:val="both"/>
      </w:pPr>
      <w:r w:rsidRPr="005669CE">
        <w:rPr>
          <w:lang w:val="fr-FR"/>
        </w:rPr>
        <w:t>Patron en plastique Kato-Katz avec un trou de 6 mm sur un patron d’une épaisseur de 1,5 mm (produisant 41,7 mg de selles), réutilisable</w:t>
      </w:r>
    </w:p>
    <w:p w14:paraId="67349B4D" w14:textId="77777777" w:rsidR="000E2E95" w:rsidRPr="005669CE" w:rsidRDefault="000E2E95" w:rsidP="00CE74C2">
      <w:pPr>
        <w:spacing w:line="259" w:lineRule="auto"/>
        <w:jc w:val="both"/>
        <w:sectPr w:rsidR="000E2E95" w:rsidRPr="005669CE" w:rsidSect="008622E9">
          <w:pgSz w:w="12240" w:h="15840"/>
          <w:pgMar w:top="1440" w:right="1077" w:bottom="1440" w:left="1077" w:header="720" w:footer="720" w:gutter="0"/>
          <w:cols w:space="720"/>
        </w:sectPr>
      </w:pPr>
    </w:p>
    <w:p w14:paraId="6836D5A7" w14:textId="77777777" w:rsidR="000E2E95" w:rsidRPr="005669CE" w:rsidRDefault="000E2E95" w:rsidP="00341A0D">
      <w:pPr>
        <w:pStyle w:val="BodyText"/>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3"/>
        <w:gridCol w:w="2765"/>
      </w:tblGrid>
      <w:tr w:rsidR="000C10E3" w14:paraId="39FEE7F3" w14:textId="77777777">
        <w:trPr>
          <w:trHeight w:val="450"/>
        </w:trPr>
        <w:tc>
          <w:tcPr>
            <w:tcW w:w="6313" w:type="dxa"/>
            <w:shd w:val="clear" w:color="auto" w:fill="FAE3D4"/>
          </w:tcPr>
          <w:p w14:paraId="1AAF4B1A" w14:textId="77777777" w:rsidR="000E2E95" w:rsidRPr="005669CE" w:rsidRDefault="00DB0A1C" w:rsidP="00CE74C2">
            <w:pPr>
              <w:pStyle w:val="TableParagraph"/>
              <w:spacing w:before="1"/>
              <w:ind w:left="107"/>
              <w:jc w:val="both"/>
              <w:rPr>
                <w:b/>
              </w:rPr>
            </w:pPr>
            <w:r w:rsidRPr="005669CE">
              <w:rPr>
                <w:b/>
                <w:bCs/>
                <w:lang w:val="fr-FR"/>
              </w:rPr>
              <w:t>Préparation des réactifs Kato-Katz</w:t>
            </w:r>
          </w:p>
        </w:tc>
        <w:tc>
          <w:tcPr>
            <w:tcW w:w="2765" w:type="dxa"/>
            <w:shd w:val="clear" w:color="auto" w:fill="FAE3D4"/>
          </w:tcPr>
          <w:p w14:paraId="51E0D958" w14:textId="77777777" w:rsidR="000E2E95" w:rsidRPr="005669CE" w:rsidRDefault="00DB0A1C" w:rsidP="00CE74C2">
            <w:pPr>
              <w:pStyle w:val="TableParagraph"/>
              <w:spacing w:before="1"/>
              <w:ind w:left="107"/>
              <w:jc w:val="both"/>
              <w:rPr>
                <w:b/>
              </w:rPr>
            </w:pPr>
            <w:r w:rsidRPr="005669CE">
              <w:rPr>
                <w:b/>
                <w:bCs/>
                <w:spacing w:val="-2"/>
                <w:lang w:val="fr-FR"/>
              </w:rPr>
              <w:t>Images</w:t>
            </w:r>
          </w:p>
        </w:tc>
      </w:tr>
      <w:tr w:rsidR="000C10E3" w14:paraId="01348663" w14:textId="77777777">
        <w:trPr>
          <w:trHeight w:val="738"/>
        </w:trPr>
        <w:tc>
          <w:tcPr>
            <w:tcW w:w="6313" w:type="dxa"/>
          </w:tcPr>
          <w:p w14:paraId="03152D19" w14:textId="77777777" w:rsidR="000E2E95" w:rsidRPr="005669CE" w:rsidRDefault="00DB0A1C" w:rsidP="00CE74C2">
            <w:pPr>
              <w:pStyle w:val="TableParagraph"/>
              <w:spacing w:line="259" w:lineRule="auto"/>
              <w:ind w:left="107" w:right="95"/>
              <w:jc w:val="both"/>
            </w:pPr>
            <w:r w:rsidRPr="005669CE">
              <w:rPr>
                <w:lang w:val="fr-FR"/>
              </w:rPr>
              <w:t>Étape 1 : Prendre 3 grammes de poudre de vert de malachite (ou de bleu de méthylène).</w:t>
            </w:r>
          </w:p>
        </w:tc>
        <w:tc>
          <w:tcPr>
            <w:tcW w:w="2765" w:type="dxa"/>
          </w:tcPr>
          <w:p w14:paraId="5E6FC70F" w14:textId="77777777" w:rsidR="000E2E95" w:rsidRPr="005669CE" w:rsidRDefault="000E2E95" w:rsidP="00CE74C2">
            <w:pPr>
              <w:pStyle w:val="TableParagraph"/>
              <w:jc w:val="both"/>
              <w:rPr>
                <w:rFonts w:ascii="Times New Roman"/>
              </w:rPr>
            </w:pPr>
          </w:p>
        </w:tc>
      </w:tr>
      <w:tr w:rsidR="000C10E3" w14:paraId="069E9535" w14:textId="77777777">
        <w:trPr>
          <w:trHeight w:val="741"/>
        </w:trPr>
        <w:tc>
          <w:tcPr>
            <w:tcW w:w="6313" w:type="dxa"/>
          </w:tcPr>
          <w:p w14:paraId="571438B7" w14:textId="77777777" w:rsidR="000E2E95" w:rsidRPr="005669CE" w:rsidRDefault="00DB0A1C" w:rsidP="00CE74C2">
            <w:pPr>
              <w:pStyle w:val="TableParagraph"/>
              <w:spacing w:before="1" w:line="256" w:lineRule="auto"/>
              <w:ind w:left="107"/>
              <w:jc w:val="both"/>
            </w:pPr>
            <w:r w:rsidRPr="005669CE">
              <w:rPr>
                <w:lang w:val="fr-FR"/>
              </w:rPr>
              <w:t>Étape 2 : Les diluer dans 100 ml d’eau distillée (c’est ce qu’on appelle la</w:t>
            </w:r>
            <w:proofErr w:type="gramStart"/>
            <w:r w:rsidRPr="005669CE">
              <w:rPr>
                <w:lang w:val="fr-FR"/>
              </w:rPr>
              <w:t xml:space="preserve">  </w:t>
            </w:r>
            <w:r w:rsidRPr="005669CE">
              <w:rPr>
                <w:b/>
                <w:bCs/>
                <w:lang w:val="fr-FR"/>
              </w:rPr>
              <w:t xml:space="preserve"> «</w:t>
            </w:r>
            <w:proofErr w:type="gramEnd"/>
            <w:r w:rsidRPr="005669CE">
              <w:rPr>
                <w:b/>
                <w:bCs/>
                <w:lang w:val="fr-FR"/>
              </w:rPr>
              <w:t> solution mère »</w:t>
            </w:r>
            <w:r w:rsidRPr="005669CE">
              <w:rPr>
                <w:lang w:val="fr-FR"/>
              </w:rPr>
              <w:t>).</w:t>
            </w:r>
          </w:p>
        </w:tc>
        <w:tc>
          <w:tcPr>
            <w:tcW w:w="2765" w:type="dxa"/>
          </w:tcPr>
          <w:p w14:paraId="3DD09987" w14:textId="77777777" w:rsidR="000E2E95" w:rsidRPr="005669CE" w:rsidRDefault="000E2E95" w:rsidP="00CE74C2">
            <w:pPr>
              <w:pStyle w:val="TableParagraph"/>
              <w:jc w:val="both"/>
              <w:rPr>
                <w:rFonts w:ascii="Times New Roman"/>
              </w:rPr>
            </w:pPr>
          </w:p>
        </w:tc>
      </w:tr>
      <w:tr w:rsidR="000C10E3" w14:paraId="7AFEA50C" w14:textId="77777777">
        <w:trPr>
          <w:trHeight w:val="448"/>
        </w:trPr>
        <w:tc>
          <w:tcPr>
            <w:tcW w:w="6313" w:type="dxa"/>
          </w:tcPr>
          <w:p w14:paraId="0CCEB879" w14:textId="77777777" w:rsidR="000E2E95" w:rsidRPr="005669CE" w:rsidRDefault="00DB0A1C" w:rsidP="00CE74C2">
            <w:pPr>
              <w:pStyle w:val="TableParagraph"/>
              <w:spacing w:line="268" w:lineRule="exact"/>
              <w:ind w:left="107"/>
              <w:jc w:val="both"/>
            </w:pPr>
            <w:r w:rsidRPr="005669CE">
              <w:rPr>
                <w:lang w:val="fr-FR"/>
              </w:rPr>
              <w:t>Étape 3 : Diluer 60 ml de glycérine dans 40 ml d’eau distillée*.</w:t>
            </w:r>
          </w:p>
        </w:tc>
        <w:tc>
          <w:tcPr>
            <w:tcW w:w="2765" w:type="dxa"/>
          </w:tcPr>
          <w:p w14:paraId="71879F7E" w14:textId="77777777" w:rsidR="000E2E95" w:rsidRPr="005669CE" w:rsidRDefault="000E2E95" w:rsidP="00CE74C2">
            <w:pPr>
              <w:pStyle w:val="TableParagraph"/>
              <w:jc w:val="both"/>
              <w:rPr>
                <w:rFonts w:ascii="Times New Roman"/>
              </w:rPr>
            </w:pPr>
          </w:p>
        </w:tc>
      </w:tr>
      <w:tr w:rsidR="000C10E3" w14:paraId="6366F48E" w14:textId="77777777">
        <w:trPr>
          <w:trHeight w:val="1029"/>
        </w:trPr>
        <w:tc>
          <w:tcPr>
            <w:tcW w:w="6313" w:type="dxa"/>
          </w:tcPr>
          <w:p w14:paraId="160EBC5E" w14:textId="77777777" w:rsidR="000E2E95" w:rsidRPr="005669CE" w:rsidRDefault="00DB0A1C" w:rsidP="00CE74C2">
            <w:pPr>
              <w:pStyle w:val="TableParagraph"/>
              <w:spacing w:line="259" w:lineRule="auto"/>
              <w:ind w:left="107"/>
              <w:jc w:val="both"/>
            </w:pPr>
            <w:r w:rsidRPr="005669CE">
              <w:rPr>
                <w:lang w:val="fr-FR"/>
              </w:rPr>
              <w:t xml:space="preserve">Étape 4 : Prendre 1 ml de la </w:t>
            </w:r>
            <w:r w:rsidRPr="005669CE">
              <w:rPr>
                <w:b/>
                <w:bCs/>
                <w:lang w:val="fr-FR"/>
              </w:rPr>
              <w:t>solution mère</w:t>
            </w:r>
            <w:r w:rsidRPr="005669CE">
              <w:rPr>
                <w:lang w:val="fr-FR"/>
              </w:rPr>
              <w:t xml:space="preserve"> composée de vert de malachite (ou de bleu de méthylène) et l’ajouter aux 100 ml de la solution à 60 % de glycérol (c’est ce qu’on appelle la «</w:t>
            </w:r>
            <w:r w:rsidRPr="005669CE">
              <w:rPr>
                <w:b/>
                <w:bCs/>
                <w:lang w:val="fr-FR"/>
              </w:rPr>
              <w:t xml:space="preserve"> « solution de travail » </w:t>
            </w:r>
            <w:r w:rsidRPr="005669CE">
              <w:rPr>
                <w:lang w:val="fr-FR"/>
              </w:rPr>
              <w:t>).</w:t>
            </w:r>
          </w:p>
        </w:tc>
        <w:tc>
          <w:tcPr>
            <w:tcW w:w="2765" w:type="dxa"/>
          </w:tcPr>
          <w:p w14:paraId="4E5D1121" w14:textId="77777777" w:rsidR="000E2E95" w:rsidRPr="005669CE" w:rsidRDefault="000E2E95" w:rsidP="00CE74C2">
            <w:pPr>
              <w:pStyle w:val="TableParagraph"/>
              <w:jc w:val="both"/>
              <w:rPr>
                <w:rFonts w:ascii="Times New Roman"/>
              </w:rPr>
            </w:pPr>
          </w:p>
        </w:tc>
      </w:tr>
      <w:tr w:rsidR="000C10E3" w14:paraId="2032CBBF" w14:textId="77777777">
        <w:trPr>
          <w:trHeight w:val="1672"/>
        </w:trPr>
        <w:tc>
          <w:tcPr>
            <w:tcW w:w="6313" w:type="dxa"/>
          </w:tcPr>
          <w:p w14:paraId="7FC0D60E" w14:textId="77777777" w:rsidR="000E2E95" w:rsidRPr="005669CE" w:rsidRDefault="00DB0A1C" w:rsidP="00CE74C2">
            <w:pPr>
              <w:pStyle w:val="TableParagraph"/>
              <w:spacing w:before="1" w:line="256" w:lineRule="auto"/>
              <w:ind w:left="107"/>
              <w:jc w:val="both"/>
            </w:pPr>
            <w:r w:rsidRPr="005669CE">
              <w:rPr>
                <w:lang w:val="fr-FR"/>
              </w:rPr>
              <w:t xml:space="preserve">Étape 5 : Couper </w:t>
            </w:r>
            <w:proofErr w:type="gramStart"/>
            <w:r w:rsidRPr="005669CE">
              <w:rPr>
                <w:lang w:val="fr-FR"/>
              </w:rPr>
              <w:t>le cellophane</w:t>
            </w:r>
            <w:proofErr w:type="gramEnd"/>
            <w:r w:rsidRPr="005669CE">
              <w:rPr>
                <w:lang w:val="fr-FR"/>
              </w:rPr>
              <w:t xml:space="preserve"> en pièces de 25 mm x 30 mm, puis les tremper pendant la nuit dans la </w:t>
            </w:r>
            <w:r w:rsidRPr="005669CE">
              <w:rPr>
                <w:b/>
                <w:bCs/>
                <w:lang w:val="fr-FR"/>
              </w:rPr>
              <w:t>solution de travail</w:t>
            </w:r>
            <w:r w:rsidRPr="005669CE">
              <w:rPr>
                <w:lang w:val="fr-FR"/>
              </w:rPr>
              <w:t>.</w:t>
            </w:r>
          </w:p>
        </w:tc>
        <w:tc>
          <w:tcPr>
            <w:tcW w:w="2765" w:type="dxa"/>
          </w:tcPr>
          <w:p w14:paraId="23E0DB90" w14:textId="77777777" w:rsidR="000E2E95" w:rsidRPr="005669CE" w:rsidRDefault="000E2E95" w:rsidP="00CE74C2">
            <w:pPr>
              <w:pStyle w:val="TableParagraph"/>
              <w:spacing w:before="10" w:after="1"/>
              <w:jc w:val="both"/>
              <w:rPr>
                <w:sz w:val="14"/>
              </w:rPr>
            </w:pPr>
          </w:p>
          <w:p w14:paraId="0453DC30" w14:textId="77777777" w:rsidR="000E2E95" w:rsidRPr="005669CE" w:rsidRDefault="00DB0A1C" w:rsidP="00CE74C2">
            <w:pPr>
              <w:pStyle w:val="TableParagraph"/>
              <w:ind w:left="406"/>
              <w:jc w:val="both"/>
              <w:rPr>
                <w:sz w:val="20"/>
              </w:rPr>
            </w:pPr>
            <w:r w:rsidRPr="005669CE">
              <w:rPr>
                <w:noProof/>
                <w:sz w:val="20"/>
              </w:rPr>
              <w:drawing>
                <wp:inline distT="0" distB="0" distL="0" distR="0" wp14:anchorId="0048107B" wp14:editId="67AD008B">
                  <wp:extent cx="1270902" cy="875442"/>
                  <wp:effectExtent l="0" t="0" r="0" b="0"/>
                  <wp:docPr id="116" name="Image 116" descr="A diagram of a drawing of a person  Description automatically generated"/>
                  <wp:cNvGraphicFramePr/>
                  <a:graphic xmlns:a="http://schemas.openxmlformats.org/drawingml/2006/main">
                    <a:graphicData uri="http://schemas.openxmlformats.org/drawingml/2006/picture">
                      <pic:pic xmlns:pic="http://schemas.openxmlformats.org/drawingml/2006/picture">
                        <pic:nvPicPr>
                          <pic:cNvPr id="1765211533" name="Image 116" descr="A diagram of a drawing of a person  Description automatically generated"/>
                          <pic:cNvPicPr/>
                        </pic:nvPicPr>
                        <pic:blipFill>
                          <a:blip r:embed="rId41" cstate="print"/>
                          <a:stretch>
                            <a:fillRect/>
                          </a:stretch>
                        </pic:blipFill>
                        <pic:spPr>
                          <a:xfrm>
                            <a:off x="0" y="0"/>
                            <a:ext cx="1270902" cy="875442"/>
                          </a:xfrm>
                          <a:prstGeom prst="rect">
                            <a:avLst/>
                          </a:prstGeom>
                        </pic:spPr>
                      </pic:pic>
                    </a:graphicData>
                  </a:graphic>
                </wp:inline>
              </w:drawing>
            </w:r>
          </w:p>
        </w:tc>
      </w:tr>
    </w:tbl>
    <w:p w14:paraId="57BF1B9A" w14:textId="77777777" w:rsidR="000E2E95" w:rsidRPr="005669CE" w:rsidRDefault="00DB0A1C" w:rsidP="00341A0D">
      <w:pPr>
        <w:pStyle w:val="BodyText"/>
      </w:pPr>
      <w:r w:rsidRPr="005669CE">
        <w:rPr>
          <w:lang w:val="fr-FR"/>
        </w:rPr>
        <w:t>*Dans les ouvrages de référence, il s’agit d’une solution à 50 % ou plus de glycérol (50 ml de glycérine et 50 ml d’eau distillée). En Ouganda, on a constaté que cette solution était trop légère et qu’il était donc difficile de lire les lames après un certain temps.</w:t>
      </w:r>
    </w:p>
    <w:p w14:paraId="5992CC25" w14:textId="77777777" w:rsidR="000E2E95" w:rsidRPr="005669CE" w:rsidRDefault="000E2E95" w:rsidP="00341A0D">
      <w:pPr>
        <w:pStyle w:val="BodyText"/>
      </w:pPr>
    </w:p>
    <w:p w14:paraId="6FAE822D" w14:textId="77777777" w:rsidR="000E2E95" w:rsidRPr="005669CE" w:rsidRDefault="000E2E95" w:rsidP="00341A0D">
      <w:pPr>
        <w:pStyle w:val="BodyText"/>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97"/>
        <w:gridCol w:w="3855"/>
      </w:tblGrid>
      <w:tr w:rsidR="000C10E3" w14:paraId="6F87842E" w14:textId="77777777">
        <w:trPr>
          <w:trHeight w:val="450"/>
        </w:trPr>
        <w:tc>
          <w:tcPr>
            <w:tcW w:w="5497" w:type="dxa"/>
            <w:shd w:val="clear" w:color="auto" w:fill="DEEAF6"/>
          </w:tcPr>
          <w:p w14:paraId="14C4F747" w14:textId="77777777" w:rsidR="000E2E95" w:rsidRPr="005669CE" w:rsidRDefault="00DB0A1C" w:rsidP="00CE74C2">
            <w:pPr>
              <w:pStyle w:val="TableParagraph"/>
              <w:spacing w:before="1"/>
              <w:ind w:left="107"/>
              <w:jc w:val="both"/>
              <w:rPr>
                <w:b/>
              </w:rPr>
            </w:pPr>
            <w:r w:rsidRPr="005669CE">
              <w:rPr>
                <w:b/>
                <w:bCs/>
                <w:lang w:val="fr-FR"/>
              </w:rPr>
              <w:t>Étapes Kato-Katz</w:t>
            </w:r>
          </w:p>
        </w:tc>
        <w:tc>
          <w:tcPr>
            <w:tcW w:w="3855" w:type="dxa"/>
            <w:shd w:val="clear" w:color="auto" w:fill="DEEAF6"/>
          </w:tcPr>
          <w:p w14:paraId="634F2D3E" w14:textId="77777777" w:rsidR="000E2E95" w:rsidRPr="005669CE" w:rsidRDefault="00DB0A1C" w:rsidP="00CE74C2">
            <w:pPr>
              <w:pStyle w:val="TableParagraph"/>
              <w:spacing w:before="1"/>
              <w:ind w:left="107"/>
              <w:jc w:val="both"/>
              <w:rPr>
                <w:b/>
              </w:rPr>
            </w:pPr>
            <w:r w:rsidRPr="005669CE">
              <w:rPr>
                <w:b/>
                <w:bCs/>
                <w:spacing w:val="-2"/>
                <w:lang w:val="fr-FR"/>
              </w:rPr>
              <w:t>Images</w:t>
            </w:r>
          </w:p>
        </w:tc>
      </w:tr>
      <w:tr w:rsidR="000C10E3" w14:paraId="0CF50B19" w14:textId="77777777">
        <w:trPr>
          <w:trHeight w:val="1769"/>
        </w:trPr>
        <w:tc>
          <w:tcPr>
            <w:tcW w:w="5497" w:type="dxa"/>
          </w:tcPr>
          <w:p w14:paraId="3CE6BEB0" w14:textId="77777777" w:rsidR="000E2E95" w:rsidRPr="005669CE" w:rsidRDefault="00DB0A1C" w:rsidP="00CE74C2">
            <w:pPr>
              <w:pStyle w:val="TableParagraph"/>
              <w:spacing w:line="259" w:lineRule="auto"/>
              <w:ind w:left="107" w:right="140"/>
              <w:jc w:val="both"/>
            </w:pPr>
            <w:r w:rsidRPr="005669CE">
              <w:rPr>
                <w:lang w:val="fr-FR"/>
              </w:rPr>
              <w:t>Étape 1</w:t>
            </w:r>
            <w:proofErr w:type="gramStart"/>
            <w:r w:rsidRPr="005669CE">
              <w:rPr>
                <w:lang w:val="fr-FR"/>
              </w:rPr>
              <w:t> :Placer</w:t>
            </w:r>
            <w:proofErr w:type="gramEnd"/>
            <w:r w:rsidRPr="005669CE">
              <w:rPr>
                <w:lang w:val="fr-FR"/>
              </w:rPr>
              <w:t xml:space="preserve"> </w:t>
            </w:r>
            <w:r w:rsidRPr="005669CE">
              <w:rPr>
                <w:b/>
                <w:bCs/>
                <w:lang w:val="fr-FR"/>
              </w:rPr>
              <w:t>deux</w:t>
            </w:r>
            <w:r w:rsidRPr="005669CE">
              <w:rPr>
                <w:lang w:val="fr-FR"/>
              </w:rPr>
              <w:t xml:space="preserve"> lamelles de verre côte à côte et étiqueter les deux lamelles avec le même numéro d’échantillon, puis placer un patron en plastique sur chacune d’entre elles.</w:t>
            </w:r>
          </w:p>
        </w:tc>
        <w:tc>
          <w:tcPr>
            <w:tcW w:w="3855" w:type="dxa"/>
          </w:tcPr>
          <w:p w14:paraId="7B2E4804" w14:textId="77777777" w:rsidR="000E2E95" w:rsidRPr="005669CE" w:rsidRDefault="000E2E95" w:rsidP="00CE74C2">
            <w:pPr>
              <w:pStyle w:val="TableParagraph"/>
              <w:spacing w:before="5"/>
              <w:jc w:val="both"/>
              <w:rPr>
                <w:sz w:val="8"/>
              </w:rPr>
            </w:pPr>
          </w:p>
          <w:p w14:paraId="398DB8BD" w14:textId="77777777" w:rsidR="000E2E95" w:rsidRPr="005669CE" w:rsidRDefault="00DB0A1C" w:rsidP="00CE74C2">
            <w:pPr>
              <w:pStyle w:val="TableParagraph"/>
              <w:ind w:left="686"/>
              <w:jc w:val="both"/>
              <w:rPr>
                <w:sz w:val="20"/>
              </w:rPr>
            </w:pPr>
            <w:r w:rsidRPr="005669CE">
              <w:rPr>
                <w:noProof/>
                <w:sz w:val="20"/>
              </w:rPr>
              <w:drawing>
                <wp:inline distT="0" distB="0" distL="0" distR="0" wp14:anchorId="72FAC7BC" wp14:editId="19CD6D76">
                  <wp:extent cx="1100120" cy="1040320"/>
                  <wp:effectExtent l="0" t="0" r="0" b="0"/>
                  <wp:docPr id="117" name="Image 117" descr="A diagram of a rectangular box  Description automatically generated"/>
                  <wp:cNvGraphicFramePr/>
                  <a:graphic xmlns:a="http://schemas.openxmlformats.org/drawingml/2006/main">
                    <a:graphicData uri="http://schemas.openxmlformats.org/drawingml/2006/picture">
                      <pic:pic xmlns:pic="http://schemas.openxmlformats.org/drawingml/2006/picture">
                        <pic:nvPicPr>
                          <pic:cNvPr id="243902357" name="Image 117" descr="A diagram of a rectangular box  Description automatically generated"/>
                          <pic:cNvPicPr/>
                        </pic:nvPicPr>
                        <pic:blipFill>
                          <a:blip r:embed="rId42" cstate="print"/>
                          <a:stretch>
                            <a:fillRect/>
                          </a:stretch>
                        </pic:blipFill>
                        <pic:spPr>
                          <a:xfrm>
                            <a:off x="0" y="0"/>
                            <a:ext cx="1100120" cy="1040320"/>
                          </a:xfrm>
                          <a:prstGeom prst="rect">
                            <a:avLst/>
                          </a:prstGeom>
                        </pic:spPr>
                      </pic:pic>
                    </a:graphicData>
                  </a:graphic>
                </wp:inline>
              </w:drawing>
            </w:r>
          </w:p>
        </w:tc>
      </w:tr>
      <w:tr w:rsidR="000C10E3" w14:paraId="5A35E3F1" w14:textId="77777777">
        <w:trPr>
          <w:trHeight w:val="2162"/>
        </w:trPr>
        <w:tc>
          <w:tcPr>
            <w:tcW w:w="5497" w:type="dxa"/>
          </w:tcPr>
          <w:p w14:paraId="2FB768CB" w14:textId="77777777" w:rsidR="000E2E95" w:rsidRPr="005669CE" w:rsidRDefault="00DB0A1C" w:rsidP="00CE74C2">
            <w:pPr>
              <w:pStyle w:val="TableParagraph"/>
              <w:spacing w:line="259" w:lineRule="auto"/>
              <w:ind w:left="107" w:right="140"/>
              <w:jc w:val="both"/>
            </w:pPr>
            <w:r w:rsidRPr="005669CE">
              <w:rPr>
                <w:lang w:val="fr-FR"/>
              </w:rPr>
              <w:t xml:space="preserve">Étape 2 : Placer une petite quantité de l’échantillon de matière fécale sur un journal et le passer à travers le tamis métallique. À l’aide d’une spatule, gratter la matière fécale à travers le tamis </w:t>
            </w:r>
            <w:proofErr w:type="gramStart"/>
            <w:r w:rsidRPr="005669CE">
              <w:rPr>
                <w:lang w:val="fr-FR"/>
              </w:rPr>
              <w:t>de manière à ce</w:t>
            </w:r>
            <w:proofErr w:type="gramEnd"/>
            <w:r w:rsidRPr="005669CE">
              <w:rPr>
                <w:lang w:val="fr-FR"/>
              </w:rPr>
              <w:t xml:space="preserve"> que seuls les débris restent sur le dessus.</w:t>
            </w:r>
          </w:p>
        </w:tc>
        <w:tc>
          <w:tcPr>
            <w:tcW w:w="3855" w:type="dxa"/>
          </w:tcPr>
          <w:p w14:paraId="2A3BFBC1" w14:textId="77777777" w:rsidR="000E2E95" w:rsidRPr="005669CE" w:rsidRDefault="00DB0A1C" w:rsidP="00CE74C2">
            <w:pPr>
              <w:pStyle w:val="TableParagraph"/>
              <w:ind w:left="106"/>
              <w:jc w:val="both"/>
              <w:rPr>
                <w:sz w:val="20"/>
              </w:rPr>
            </w:pPr>
            <w:r w:rsidRPr="005669CE">
              <w:rPr>
                <w:noProof/>
                <w:sz w:val="20"/>
              </w:rPr>
              <w:drawing>
                <wp:inline distT="0" distB="0" distL="0" distR="0" wp14:anchorId="78ED0C93" wp14:editId="390852E5">
                  <wp:extent cx="1843732" cy="1265682"/>
                  <wp:effectExtent l="0" t="0" r="0" b="0"/>
                  <wp:docPr id="118" name="Image 118" descr="A close-up of hands holding a stick  Description automatically generated"/>
                  <wp:cNvGraphicFramePr/>
                  <a:graphic xmlns:a="http://schemas.openxmlformats.org/drawingml/2006/main">
                    <a:graphicData uri="http://schemas.openxmlformats.org/drawingml/2006/picture">
                      <pic:pic xmlns:pic="http://schemas.openxmlformats.org/drawingml/2006/picture">
                        <pic:nvPicPr>
                          <pic:cNvPr id="1017148512" name="Image 118" descr="A close-up of hands holding a stick  Description automatically generated"/>
                          <pic:cNvPicPr/>
                        </pic:nvPicPr>
                        <pic:blipFill>
                          <a:blip r:embed="rId43" cstate="print"/>
                          <a:stretch>
                            <a:fillRect/>
                          </a:stretch>
                        </pic:blipFill>
                        <pic:spPr>
                          <a:xfrm>
                            <a:off x="0" y="0"/>
                            <a:ext cx="1843732" cy="1265682"/>
                          </a:xfrm>
                          <a:prstGeom prst="rect">
                            <a:avLst/>
                          </a:prstGeom>
                        </pic:spPr>
                      </pic:pic>
                    </a:graphicData>
                  </a:graphic>
                </wp:inline>
              </w:drawing>
            </w:r>
          </w:p>
        </w:tc>
      </w:tr>
    </w:tbl>
    <w:p w14:paraId="607683AB" w14:textId="77777777" w:rsidR="000E2E95" w:rsidRPr="005669CE" w:rsidRDefault="000E2E95" w:rsidP="00CE74C2">
      <w:pPr>
        <w:jc w:val="both"/>
        <w:rPr>
          <w:sz w:val="20"/>
        </w:rPr>
        <w:sectPr w:rsidR="000E2E95" w:rsidRPr="005669CE"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97"/>
        <w:gridCol w:w="3855"/>
      </w:tblGrid>
      <w:tr w:rsidR="000C10E3" w14:paraId="405D9722" w14:textId="77777777">
        <w:trPr>
          <w:trHeight w:val="2058"/>
        </w:trPr>
        <w:tc>
          <w:tcPr>
            <w:tcW w:w="5497" w:type="dxa"/>
          </w:tcPr>
          <w:p w14:paraId="3DA61F46" w14:textId="77777777" w:rsidR="000E2E95" w:rsidRPr="005669CE" w:rsidRDefault="00DB0A1C" w:rsidP="00CE74C2">
            <w:pPr>
              <w:pStyle w:val="TableParagraph"/>
              <w:spacing w:line="259" w:lineRule="auto"/>
              <w:ind w:left="107"/>
              <w:jc w:val="both"/>
            </w:pPr>
            <w:r w:rsidRPr="005669CE">
              <w:rPr>
                <w:lang w:val="fr-FR"/>
              </w:rPr>
              <w:lastRenderedPageBreak/>
              <w:t>Étape 2</w:t>
            </w:r>
            <w:proofErr w:type="gramStart"/>
            <w:r w:rsidRPr="005669CE">
              <w:rPr>
                <w:lang w:val="fr-FR"/>
              </w:rPr>
              <w:t> :Gratter</w:t>
            </w:r>
            <w:proofErr w:type="gramEnd"/>
            <w:r w:rsidRPr="005669CE">
              <w:rPr>
                <w:lang w:val="fr-FR"/>
              </w:rPr>
              <w:t xml:space="preserve"> une partie des selles tamisées du dessous pour remplir le trou dans les patrons, en évitant les bulles d’air et en aplanissant les selles pour enlever tout excédent.</w:t>
            </w:r>
          </w:p>
          <w:p w14:paraId="290A8657" w14:textId="77777777" w:rsidR="000E2E95" w:rsidRPr="005669CE" w:rsidRDefault="00DB0A1C" w:rsidP="00CE74C2">
            <w:pPr>
              <w:pStyle w:val="TableParagraph"/>
              <w:spacing w:before="158" w:line="259" w:lineRule="auto"/>
              <w:ind w:left="107"/>
              <w:jc w:val="both"/>
            </w:pPr>
            <w:r w:rsidRPr="005669CE">
              <w:rPr>
                <w:lang w:val="fr-FR"/>
              </w:rPr>
              <w:t>Décoller soigneusement les patrons et les placer dans un seau d’eau mélangée à du détergent concentré de sorte à pouvoir les réutiliser.</w:t>
            </w:r>
          </w:p>
        </w:tc>
        <w:tc>
          <w:tcPr>
            <w:tcW w:w="3855" w:type="dxa"/>
          </w:tcPr>
          <w:p w14:paraId="13D07D24" w14:textId="77777777" w:rsidR="000E2E95" w:rsidRPr="005669CE" w:rsidRDefault="00DB0A1C" w:rsidP="00CE74C2">
            <w:pPr>
              <w:pStyle w:val="TableParagraph"/>
              <w:ind w:left="106"/>
              <w:jc w:val="both"/>
              <w:rPr>
                <w:sz w:val="20"/>
              </w:rPr>
            </w:pPr>
            <w:r w:rsidRPr="005669CE">
              <w:rPr>
                <w:noProof/>
                <w:sz w:val="20"/>
              </w:rPr>
              <w:drawing>
                <wp:inline distT="0" distB="0" distL="0" distR="0" wp14:anchorId="0F60FFD3" wp14:editId="1742F2F5">
                  <wp:extent cx="1571809" cy="1048511"/>
                  <wp:effectExtent l="0" t="0" r="0" b="0"/>
                  <wp:docPr id="119" name="Image 119" descr="A close-up of hands holding a cigarette  Description automatically generated"/>
                  <wp:cNvGraphicFramePr/>
                  <a:graphic xmlns:a="http://schemas.openxmlformats.org/drawingml/2006/main">
                    <a:graphicData uri="http://schemas.openxmlformats.org/drawingml/2006/picture">
                      <pic:pic xmlns:pic="http://schemas.openxmlformats.org/drawingml/2006/picture">
                        <pic:nvPicPr>
                          <pic:cNvPr id="2098878231" name="Image 119" descr="A close-up of hands holding a cigarette  Description automatically generated"/>
                          <pic:cNvPicPr/>
                        </pic:nvPicPr>
                        <pic:blipFill>
                          <a:blip r:embed="rId44" cstate="print"/>
                          <a:stretch>
                            <a:fillRect/>
                          </a:stretch>
                        </pic:blipFill>
                        <pic:spPr>
                          <a:xfrm>
                            <a:off x="0" y="0"/>
                            <a:ext cx="1571809" cy="1048511"/>
                          </a:xfrm>
                          <a:prstGeom prst="rect">
                            <a:avLst/>
                          </a:prstGeom>
                        </pic:spPr>
                      </pic:pic>
                    </a:graphicData>
                  </a:graphic>
                </wp:inline>
              </w:drawing>
            </w:r>
          </w:p>
        </w:tc>
      </w:tr>
      <w:tr w:rsidR="000C10E3" w14:paraId="4B1BEDC5" w14:textId="77777777">
        <w:trPr>
          <w:trHeight w:val="2251"/>
        </w:trPr>
        <w:tc>
          <w:tcPr>
            <w:tcW w:w="5497" w:type="dxa"/>
          </w:tcPr>
          <w:p w14:paraId="617BD103" w14:textId="77777777" w:rsidR="000E2E95" w:rsidRPr="005669CE" w:rsidRDefault="00DB0A1C" w:rsidP="00CE74C2">
            <w:pPr>
              <w:pStyle w:val="TableParagraph"/>
              <w:spacing w:line="259" w:lineRule="auto"/>
              <w:ind w:left="107" w:right="140"/>
              <w:jc w:val="both"/>
            </w:pPr>
            <w:r w:rsidRPr="005669CE">
              <w:rPr>
                <w:lang w:val="fr-FR"/>
              </w:rPr>
              <w:t>Étape 4 : Placer un morceau de la cellophane, qui aura été trempé pendant la nuit dans la solution de travail composée de vert de malachite (ou de bleu de méthylène), sur l’échantillon de selles.</w:t>
            </w:r>
          </w:p>
        </w:tc>
        <w:tc>
          <w:tcPr>
            <w:tcW w:w="3855" w:type="dxa"/>
          </w:tcPr>
          <w:p w14:paraId="660E3BE0" w14:textId="77777777" w:rsidR="000E2E95" w:rsidRPr="005669CE" w:rsidRDefault="00DB0A1C" w:rsidP="00CE74C2">
            <w:pPr>
              <w:pStyle w:val="TableParagraph"/>
              <w:ind w:left="106"/>
              <w:jc w:val="both"/>
              <w:rPr>
                <w:sz w:val="20"/>
              </w:rPr>
            </w:pPr>
            <w:r w:rsidRPr="005669CE">
              <w:rPr>
                <w:noProof/>
                <w:sz w:val="20"/>
              </w:rPr>
              <w:drawing>
                <wp:inline distT="0" distB="0" distL="0" distR="0" wp14:anchorId="7E6F6868" wp14:editId="130561F5">
                  <wp:extent cx="1511370" cy="1274063"/>
                  <wp:effectExtent l="0" t="0" r="0" b="0"/>
                  <wp:docPr id="120" name="Image 120" descr="A cartoon of a hand holding a tweezers  Description automatically generated"/>
                  <wp:cNvGraphicFramePr/>
                  <a:graphic xmlns:a="http://schemas.openxmlformats.org/drawingml/2006/main">
                    <a:graphicData uri="http://schemas.openxmlformats.org/drawingml/2006/picture">
                      <pic:pic xmlns:pic="http://schemas.openxmlformats.org/drawingml/2006/picture">
                        <pic:nvPicPr>
                          <pic:cNvPr id="1742367703" name="Image 120" descr="A cartoon of a hand holding a tweezers  Description automatically generated"/>
                          <pic:cNvPicPr/>
                        </pic:nvPicPr>
                        <pic:blipFill>
                          <a:blip r:embed="rId45" cstate="print"/>
                          <a:stretch>
                            <a:fillRect/>
                          </a:stretch>
                        </pic:blipFill>
                        <pic:spPr>
                          <a:xfrm>
                            <a:off x="0" y="0"/>
                            <a:ext cx="1511370" cy="1274063"/>
                          </a:xfrm>
                          <a:prstGeom prst="rect">
                            <a:avLst/>
                          </a:prstGeom>
                        </pic:spPr>
                      </pic:pic>
                    </a:graphicData>
                  </a:graphic>
                </wp:inline>
              </w:drawing>
            </w:r>
          </w:p>
        </w:tc>
      </w:tr>
      <w:tr w:rsidR="000C10E3" w14:paraId="5192F001" w14:textId="77777777">
        <w:trPr>
          <w:trHeight w:val="2678"/>
        </w:trPr>
        <w:tc>
          <w:tcPr>
            <w:tcW w:w="5497" w:type="dxa"/>
          </w:tcPr>
          <w:p w14:paraId="097D7FE7" w14:textId="77777777" w:rsidR="000E2E95" w:rsidRPr="005669CE" w:rsidRDefault="00DB0A1C" w:rsidP="00CE74C2">
            <w:pPr>
              <w:pStyle w:val="TableParagraph"/>
              <w:spacing w:line="259" w:lineRule="auto"/>
              <w:ind w:left="107" w:right="160"/>
              <w:jc w:val="both"/>
            </w:pPr>
            <w:r w:rsidRPr="005669CE">
              <w:rPr>
                <w:lang w:val="fr-FR"/>
              </w:rPr>
              <w:t>Étape 5 : Inverser la lame de microscope et presser fermement l’échantillon contre la bande de cellophane sur une autre lame de microscope ou sur une surface lisse et dure afin d’étaler les selles en cercle. Si le test est bien fait, il devrait être possible de lire le journal papier à travers les traces de selles.</w:t>
            </w:r>
          </w:p>
        </w:tc>
        <w:tc>
          <w:tcPr>
            <w:tcW w:w="3855" w:type="dxa"/>
          </w:tcPr>
          <w:p w14:paraId="2EA07286" w14:textId="77777777" w:rsidR="000E2E95" w:rsidRPr="005669CE" w:rsidRDefault="000E2E95" w:rsidP="00CE74C2">
            <w:pPr>
              <w:pStyle w:val="TableParagraph"/>
              <w:jc w:val="both"/>
              <w:rPr>
                <w:sz w:val="2"/>
              </w:rPr>
            </w:pPr>
          </w:p>
          <w:p w14:paraId="5C563B98" w14:textId="77777777" w:rsidR="000E2E95" w:rsidRPr="005669CE" w:rsidRDefault="00DB0A1C" w:rsidP="00CE74C2">
            <w:pPr>
              <w:pStyle w:val="TableParagraph"/>
              <w:ind w:left="119"/>
              <w:jc w:val="both"/>
              <w:rPr>
                <w:sz w:val="20"/>
              </w:rPr>
            </w:pPr>
            <w:r w:rsidRPr="005669CE">
              <w:rPr>
                <w:noProof/>
                <w:sz w:val="20"/>
              </w:rPr>
              <w:drawing>
                <wp:inline distT="0" distB="0" distL="0" distR="0" wp14:anchorId="508BB75D" wp14:editId="1B064FF1">
                  <wp:extent cx="1537974" cy="384048"/>
                  <wp:effectExtent l="0" t="0" r="0" b="0"/>
                  <wp:docPr id="121" name="Image 121" descr="A computer screen with a red arrow  Description automatically generated"/>
                  <wp:cNvGraphicFramePr/>
                  <a:graphic xmlns:a="http://schemas.openxmlformats.org/drawingml/2006/main">
                    <a:graphicData uri="http://schemas.openxmlformats.org/drawingml/2006/picture">
                      <pic:pic xmlns:pic="http://schemas.openxmlformats.org/drawingml/2006/picture">
                        <pic:nvPicPr>
                          <pic:cNvPr id="1640151067" name="Image 121" descr="A computer screen with a red arrow  Description automatically generated"/>
                          <pic:cNvPicPr/>
                        </pic:nvPicPr>
                        <pic:blipFill>
                          <a:blip r:embed="rId46" cstate="print"/>
                          <a:stretch>
                            <a:fillRect/>
                          </a:stretch>
                        </pic:blipFill>
                        <pic:spPr>
                          <a:xfrm>
                            <a:off x="0" y="0"/>
                            <a:ext cx="1537974" cy="384048"/>
                          </a:xfrm>
                          <a:prstGeom prst="rect">
                            <a:avLst/>
                          </a:prstGeom>
                        </pic:spPr>
                      </pic:pic>
                    </a:graphicData>
                  </a:graphic>
                </wp:inline>
              </w:drawing>
            </w:r>
          </w:p>
          <w:p w14:paraId="733929E8" w14:textId="77777777" w:rsidR="000E2E95" w:rsidRPr="005669CE" w:rsidRDefault="000E2E95" w:rsidP="00CE74C2">
            <w:pPr>
              <w:pStyle w:val="TableParagraph"/>
              <w:spacing w:before="8"/>
              <w:jc w:val="both"/>
              <w:rPr>
                <w:sz w:val="8"/>
              </w:rPr>
            </w:pPr>
          </w:p>
          <w:p w14:paraId="73099480" w14:textId="77777777" w:rsidR="000E2E95" w:rsidRPr="005669CE" w:rsidRDefault="00DB0A1C" w:rsidP="00CE74C2">
            <w:pPr>
              <w:pStyle w:val="TableParagraph"/>
              <w:ind w:left="106"/>
              <w:jc w:val="both"/>
              <w:rPr>
                <w:sz w:val="20"/>
              </w:rPr>
            </w:pPr>
            <w:r w:rsidRPr="005669CE">
              <w:rPr>
                <w:noProof/>
                <w:sz w:val="20"/>
              </w:rPr>
              <w:drawing>
                <wp:inline distT="0" distB="0" distL="0" distR="0" wp14:anchorId="5C358C44" wp14:editId="0D5303FE">
                  <wp:extent cx="1775477" cy="1114043"/>
                  <wp:effectExtent l="0" t="0" r="0" b="0"/>
                  <wp:docPr id="122" name="Image 122" descr="Cartoon hands holding a card  Description automatically generated"/>
                  <wp:cNvGraphicFramePr/>
                  <a:graphic xmlns:a="http://schemas.openxmlformats.org/drawingml/2006/main">
                    <a:graphicData uri="http://schemas.openxmlformats.org/drawingml/2006/picture">
                      <pic:pic xmlns:pic="http://schemas.openxmlformats.org/drawingml/2006/picture">
                        <pic:nvPicPr>
                          <pic:cNvPr id="338152909" name="Image 122" descr="Cartoon hands holding a card  Description automatically generated"/>
                          <pic:cNvPicPr/>
                        </pic:nvPicPr>
                        <pic:blipFill>
                          <a:blip r:embed="rId47" cstate="print"/>
                          <a:stretch>
                            <a:fillRect/>
                          </a:stretch>
                        </pic:blipFill>
                        <pic:spPr>
                          <a:xfrm>
                            <a:off x="0" y="0"/>
                            <a:ext cx="1775477" cy="1114043"/>
                          </a:xfrm>
                          <a:prstGeom prst="rect">
                            <a:avLst/>
                          </a:prstGeom>
                        </pic:spPr>
                      </pic:pic>
                    </a:graphicData>
                  </a:graphic>
                </wp:inline>
              </w:drawing>
            </w:r>
          </w:p>
        </w:tc>
      </w:tr>
      <w:tr w:rsidR="000C10E3" w14:paraId="7E20E6A4" w14:textId="77777777">
        <w:trPr>
          <w:trHeight w:val="1929"/>
        </w:trPr>
        <w:tc>
          <w:tcPr>
            <w:tcW w:w="9352" w:type="dxa"/>
            <w:gridSpan w:val="2"/>
          </w:tcPr>
          <w:p w14:paraId="0D0E39CC" w14:textId="77777777" w:rsidR="000E2E95" w:rsidRPr="005669CE" w:rsidRDefault="00DB0A1C" w:rsidP="00CE74C2">
            <w:pPr>
              <w:pStyle w:val="TableParagraph"/>
              <w:spacing w:before="1"/>
              <w:ind w:left="107"/>
              <w:jc w:val="both"/>
            </w:pPr>
            <w:r w:rsidRPr="005669CE">
              <w:rPr>
                <w:lang w:val="fr-FR"/>
              </w:rPr>
              <w:t xml:space="preserve">Étape 6 : Maintenir la lame avec </w:t>
            </w:r>
            <w:proofErr w:type="gramStart"/>
            <w:r w:rsidRPr="005669CE">
              <w:rPr>
                <w:lang w:val="fr-FR"/>
              </w:rPr>
              <w:t>le cellophane</w:t>
            </w:r>
            <w:proofErr w:type="gramEnd"/>
            <w:r w:rsidRPr="005669CE">
              <w:rPr>
                <w:lang w:val="fr-FR"/>
              </w:rPr>
              <w:t xml:space="preserve"> vers le haut pendant 30 minutes (moins si elle est exposée à la lumière du soleil).</w:t>
            </w:r>
          </w:p>
          <w:p w14:paraId="75CBFC01" w14:textId="77777777" w:rsidR="000E2E95" w:rsidRPr="005669CE" w:rsidRDefault="00DB0A1C" w:rsidP="00CE74C2">
            <w:pPr>
              <w:pStyle w:val="TableParagraph"/>
              <w:spacing w:before="180" w:line="259" w:lineRule="auto"/>
              <w:ind w:left="107" w:right="157"/>
              <w:jc w:val="both"/>
            </w:pPr>
            <w:r w:rsidRPr="005669CE">
              <w:rPr>
                <w:lang w:val="fr-FR"/>
              </w:rPr>
              <w:t>Si l’ankylostome est présent dans la région, la lame doit être lue dans les 60 minutes suivant le traitement. Après ce délai, les œufs d’ankylostomes disparaissent.</w:t>
            </w:r>
          </w:p>
          <w:p w14:paraId="2D8FBBB5" w14:textId="77777777" w:rsidR="000E2E95" w:rsidRPr="005669CE" w:rsidRDefault="00DB0A1C" w:rsidP="00CE74C2">
            <w:pPr>
              <w:pStyle w:val="TableParagraph"/>
              <w:spacing w:before="160" w:line="259" w:lineRule="auto"/>
              <w:ind w:left="107"/>
              <w:jc w:val="both"/>
            </w:pPr>
            <w:r w:rsidRPr="005669CE">
              <w:rPr>
                <w:lang w:val="fr-FR"/>
              </w:rPr>
              <w:t xml:space="preserve">Le moment idéal pour observer les œufs de </w:t>
            </w:r>
            <w:r w:rsidRPr="005669CE">
              <w:rPr>
                <w:i/>
                <w:iCs/>
                <w:lang w:val="fr-FR"/>
              </w:rPr>
              <w:t xml:space="preserve">S. </w:t>
            </w:r>
            <w:proofErr w:type="spellStart"/>
            <w:r w:rsidRPr="005669CE">
              <w:rPr>
                <w:i/>
                <w:iCs/>
                <w:lang w:val="fr-FR"/>
              </w:rPr>
              <w:t>mansoni</w:t>
            </w:r>
            <w:proofErr w:type="spellEnd"/>
            <w:r w:rsidRPr="005669CE">
              <w:rPr>
                <w:lang w:val="fr-FR"/>
              </w:rPr>
              <w:t xml:space="preserve"> est 24 heures après la préparation. Toutefois, à la lumière du jour, les lamelles deviennent rapidement transparentes et un délai de 24 heures s’avère inutile.</w:t>
            </w:r>
          </w:p>
        </w:tc>
      </w:tr>
    </w:tbl>
    <w:p w14:paraId="4F3D2441" w14:textId="77777777" w:rsidR="000E2E95" w:rsidRPr="005669CE" w:rsidRDefault="000E2E95" w:rsidP="00341A0D">
      <w:pPr>
        <w:pStyle w:val="BodyText"/>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92"/>
        <w:gridCol w:w="3271"/>
      </w:tblGrid>
      <w:tr w:rsidR="000C10E3" w14:paraId="49717B59" w14:textId="77777777" w:rsidTr="009359CA">
        <w:trPr>
          <w:trHeight w:val="448"/>
        </w:trPr>
        <w:tc>
          <w:tcPr>
            <w:tcW w:w="6092" w:type="dxa"/>
            <w:shd w:val="clear" w:color="auto" w:fill="FAE3D4"/>
          </w:tcPr>
          <w:p w14:paraId="77A4A30F" w14:textId="77777777" w:rsidR="000E2E95" w:rsidRPr="005669CE" w:rsidRDefault="00DB0A1C" w:rsidP="00CE74C2">
            <w:pPr>
              <w:pStyle w:val="TableParagraph"/>
              <w:spacing w:line="268" w:lineRule="exact"/>
              <w:ind w:left="107"/>
              <w:jc w:val="both"/>
              <w:rPr>
                <w:b/>
              </w:rPr>
            </w:pPr>
            <w:r w:rsidRPr="005669CE">
              <w:rPr>
                <w:b/>
                <w:bCs/>
                <w:lang w:val="fr-FR"/>
              </w:rPr>
              <w:t xml:space="preserve">Examen microscopique des vers </w:t>
            </w:r>
            <w:r w:rsidRPr="005669CE">
              <w:rPr>
                <w:b/>
                <w:bCs/>
                <w:i/>
                <w:iCs/>
                <w:lang w:val="fr-FR"/>
              </w:rPr>
              <w:t xml:space="preserve">S. </w:t>
            </w:r>
            <w:proofErr w:type="spellStart"/>
            <w:r w:rsidRPr="005669CE">
              <w:rPr>
                <w:b/>
                <w:bCs/>
                <w:i/>
                <w:iCs/>
                <w:lang w:val="fr-FR"/>
              </w:rPr>
              <w:t>mansoni</w:t>
            </w:r>
            <w:proofErr w:type="spellEnd"/>
            <w:r w:rsidRPr="005669CE">
              <w:rPr>
                <w:b/>
                <w:bCs/>
                <w:lang w:val="fr-FR"/>
              </w:rPr>
              <w:t xml:space="preserve"> et STH</w:t>
            </w:r>
          </w:p>
        </w:tc>
        <w:tc>
          <w:tcPr>
            <w:tcW w:w="3271" w:type="dxa"/>
            <w:shd w:val="clear" w:color="auto" w:fill="FAE3D4"/>
          </w:tcPr>
          <w:p w14:paraId="0210614D" w14:textId="77777777" w:rsidR="000E2E95" w:rsidRPr="005669CE" w:rsidRDefault="00DB0A1C" w:rsidP="00CE74C2">
            <w:pPr>
              <w:pStyle w:val="TableParagraph"/>
              <w:spacing w:line="268" w:lineRule="exact"/>
              <w:ind w:left="107"/>
              <w:jc w:val="both"/>
              <w:rPr>
                <w:b/>
              </w:rPr>
            </w:pPr>
            <w:r w:rsidRPr="005669CE">
              <w:rPr>
                <w:b/>
                <w:bCs/>
                <w:spacing w:val="-2"/>
                <w:lang w:val="fr-FR"/>
              </w:rPr>
              <w:t>Images</w:t>
            </w:r>
          </w:p>
        </w:tc>
      </w:tr>
      <w:tr w:rsidR="000C10E3" w14:paraId="1C18A073" w14:textId="77777777" w:rsidTr="009359CA">
        <w:trPr>
          <w:trHeight w:val="1610"/>
        </w:trPr>
        <w:tc>
          <w:tcPr>
            <w:tcW w:w="6092" w:type="dxa"/>
          </w:tcPr>
          <w:p w14:paraId="2195DDE7" w14:textId="77777777" w:rsidR="000E2E95" w:rsidRPr="005669CE" w:rsidRDefault="00DB0A1C" w:rsidP="00CE74C2">
            <w:pPr>
              <w:pStyle w:val="TableParagraph"/>
              <w:spacing w:line="259" w:lineRule="auto"/>
              <w:ind w:left="107"/>
              <w:jc w:val="both"/>
            </w:pPr>
            <w:r w:rsidRPr="005669CE">
              <w:rPr>
                <w:lang w:val="fr-FR"/>
              </w:rPr>
              <w:t>Étape 1 : Pour un échantillon de selles (lames A et B), chaque lame doit être examinée par des techniciens différents.</w:t>
            </w:r>
          </w:p>
          <w:p w14:paraId="0D6EA5DC" w14:textId="77777777" w:rsidR="000E2E95" w:rsidRPr="005669CE" w:rsidRDefault="00DB0A1C" w:rsidP="00CE74C2">
            <w:pPr>
              <w:pStyle w:val="TableParagraph"/>
              <w:spacing w:line="259" w:lineRule="auto"/>
              <w:ind w:left="107" w:right="155"/>
              <w:jc w:val="both"/>
            </w:pPr>
            <w:r w:rsidRPr="005669CE">
              <w:rPr>
                <w:lang w:val="fr-FR"/>
              </w:rPr>
              <w:t>Placer la lame sous le microscope, utiliser l’objectif 10x pour scanner la lame. Pour vérifier les œufs individuels, un grossissement plus important peut être utilisé (40x).</w:t>
            </w:r>
          </w:p>
        </w:tc>
        <w:tc>
          <w:tcPr>
            <w:tcW w:w="3271" w:type="dxa"/>
          </w:tcPr>
          <w:p w14:paraId="68DDB293" w14:textId="77777777" w:rsidR="000E2E95" w:rsidRPr="005669CE" w:rsidRDefault="000E2E95" w:rsidP="00CE74C2">
            <w:pPr>
              <w:pStyle w:val="TableParagraph"/>
              <w:jc w:val="both"/>
              <w:rPr>
                <w:rFonts w:ascii="Times New Roman"/>
              </w:rPr>
            </w:pPr>
          </w:p>
        </w:tc>
      </w:tr>
    </w:tbl>
    <w:p w14:paraId="77D01698" w14:textId="77777777" w:rsidR="000E2E95" w:rsidRPr="005669CE" w:rsidRDefault="000E2E95" w:rsidP="00CE74C2">
      <w:pPr>
        <w:jc w:val="both"/>
        <w:rPr>
          <w:rFonts w:ascii="Times New Roman"/>
        </w:rPr>
        <w:sectPr w:rsidR="000E2E95" w:rsidRPr="005669CE"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92"/>
        <w:gridCol w:w="3271"/>
      </w:tblGrid>
      <w:tr w:rsidR="000C10E3" w14:paraId="51865BED" w14:textId="77777777" w:rsidTr="009359CA">
        <w:trPr>
          <w:trHeight w:val="2721"/>
        </w:trPr>
        <w:tc>
          <w:tcPr>
            <w:tcW w:w="6092" w:type="dxa"/>
          </w:tcPr>
          <w:p w14:paraId="04FFB59D" w14:textId="77777777" w:rsidR="000E2E95" w:rsidRPr="005669CE" w:rsidRDefault="00DB0A1C" w:rsidP="00CE74C2">
            <w:pPr>
              <w:pStyle w:val="TableParagraph"/>
              <w:spacing w:line="259" w:lineRule="auto"/>
              <w:ind w:left="107" w:right="155"/>
              <w:jc w:val="both"/>
            </w:pPr>
            <w:r w:rsidRPr="005669CE">
              <w:rPr>
                <w:lang w:val="fr-FR"/>
              </w:rPr>
              <w:lastRenderedPageBreak/>
              <w:t xml:space="preserve">Étape 2 : En commençant dans un coin de l’échantillon, scanner systématiquement </w:t>
            </w:r>
            <w:r w:rsidRPr="005669CE">
              <w:rPr>
                <w:b/>
                <w:bCs/>
                <w:lang w:val="fr-FR"/>
              </w:rPr>
              <w:t>L’INTÉGRALITÉ</w:t>
            </w:r>
            <w:r w:rsidRPr="005669CE">
              <w:rPr>
                <w:lang w:val="fr-FR"/>
              </w:rPr>
              <w:t xml:space="preserve"> de l’échantillon en « zig </w:t>
            </w:r>
            <w:proofErr w:type="spellStart"/>
            <w:r w:rsidRPr="005669CE">
              <w:rPr>
                <w:lang w:val="fr-FR"/>
              </w:rPr>
              <w:t>zag</w:t>
            </w:r>
            <w:proofErr w:type="spellEnd"/>
            <w:r w:rsidRPr="005669CE">
              <w:rPr>
                <w:lang w:val="fr-FR"/>
              </w:rPr>
              <w:t xml:space="preserve"> ». À chaque nouvelle rangée, conserver un petit chevauchement de champ microscopique : un objet situé dans le coin du champ est choisi et amené vers le côté opposé du champ. Le deuxième champ est ensuite examiné. Compter </w:t>
            </w:r>
            <w:r w:rsidRPr="005669CE">
              <w:rPr>
                <w:b/>
                <w:bCs/>
                <w:lang w:val="fr-FR"/>
              </w:rPr>
              <w:t xml:space="preserve">TOUS </w:t>
            </w:r>
            <w:r w:rsidRPr="005669CE">
              <w:rPr>
                <w:lang w:val="fr-FR"/>
              </w:rPr>
              <w:t>les œufs présents à l’aide d’un compteur manuel. Veiller à ne pas confondre les compteurs des différentes espèces.</w:t>
            </w:r>
          </w:p>
        </w:tc>
        <w:tc>
          <w:tcPr>
            <w:tcW w:w="3271" w:type="dxa"/>
          </w:tcPr>
          <w:p w14:paraId="60E70D31" w14:textId="77777777" w:rsidR="000E2E95" w:rsidRPr="005669CE" w:rsidRDefault="000E2E95" w:rsidP="00CE74C2">
            <w:pPr>
              <w:pStyle w:val="TableParagraph"/>
              <w:spacing w:before="6"/>
              <w:jc w:val="both"/>
              <w:rPr>
                <w:sz w:val="13"/>
              </w:rPr>
            </w:pPr>
          </w:p>
          <w:p w14:paraId="1AF203BE" w14:textId="77777777" w:rsidR="000E2E95" w:rsidRPr="005669CE" w:rsidRDefault="00DB0A1C" w:rsidP="00CE74C2">
            <w:pPr>
              <w:pStyle w:val="TableParagraph"/>
              <w:ind w:left="144"/>
              <w:jc w:val="both"/>
              <w:rPr>
                <w:sz w:val="20"/>
              </w:rPr>
            </w:pPr>
            <w:r w:rsidRPr="005669CE">
              <w:rPr>
                <w:noProof/>
                <w:sz w:val="20"/>
              </w:rPr>
              <mc:AlternateContent>
                <mc:Choice Requires="wpg">
                  <w:drawing>
                    <wp:inline distT="0" distB="0" distL="0" distR="0" wp14:anchorId="44CCE158" wp14:editId="02EDBE0C">
                      <wp:extent cx="1569720" cy="1553210"/>
                      <wp:effectExtent l="0" t="0" r="0" b="8890"/>
                      <wp:docPr id="123" name="Group 123"/>
                      <wp:cNvGraphicFramePr/>
                      <a:graphic xmlns:a="http://schemas.openxmlformats.org/drawingml/2006/main">
                        <a:graphicData uri="http://schemas.microsoft.com/office/word/2010/wordprocessingGroup">
                          <wpg:wgp>
                            <wpg:cNvGrpSpPr/>
                            <wpg:grpSpPr>
                              <a:xfrm>
                                <a:off x="0" y="0"/>
                                <a:ext cx="1569720" cy="1553210"/>
                                <a:chOff x="0" y="0"/>
                                <a:chExt cx="1569720" cy="1553210"/>
                              </a:xfrm>
                            </wpg:grpSpPr>
                            <pic:pic xmlns:pic="http://schemas.openxmlformats.org/drawingml/2006/picture">
                              <pic:nvPicPr>
                                <pic:cNvPr id="124" name="Image 124" descr="A couple of rectangular objects with arrows  Description automatically generated"/>
                                <pic:cNvPicPr/>
                              </pic:nvPicPr>
                              <pic:blipFill>
                                <a:blip r:embed="rId34" cstate="print"/>
                                <a:stretch>
                                  <a:fillRect/>
                                </a:stretch>
                              </pic:blipFill>
                              <pic:spPr>
                                <a:xfrm>
                                  <a:off x="0" y="0"/>
                                  <a:ext cx="1569382" cy="703344"/>
                                </a:xfrm>
                                <a:prstGeom prst="rect">
                                  <a:avLst/>
                                </a:prstGeom>
                              </pic:spPr>
                            </pic:pic>
                            <pic:pic xmlns:pic="http://schemas.openxmlformats.org/drawingml/2006/picture">
                              <pic:nvPicPr>
                                <pic:cNvPr id="125" name="Image 125" descr="A diagram of a diagram of a cycle  Description automatically generated"/>
                                <pic:cNvPicPr/>
                              </pic:nvPicPr>
                              <pic:blipFill>
                                <a:blip r:embed="rId48" cstate="print"/>
                                <a:stretch>
                                  <a:fillRect/>
                                </a:stretch>
                              </pic:blipFill>
                              <pic:spPr>
                                <a:xfrm>
                                  <a:off x="41438" y="747653"/>
                                  <a:ext cx="1258211" cy="805440"/>
                                </a:xfrm>
                                <a:prstGeom prst="rect">
                                  <a:avLst/>
                                </a:prstGeom>
                              </pic:spPr>
                            </pic:pic>
                          </wpg:wgp>
                        </a:graphicData>
                      </a:graphic>
                    </wp:inline>
                  </w:drawing>
                </mc:Choice>
                <mc:Fallback xmlns:a14="http://schemas.microsoft.com/office/drawing/2010/main" xmlns:pic="http://schemas.openxmlformats.org/drawingml/2006/picture" xmlns:a="http://schemas.openxmlformats.org/drawingml/2006/main">
                  <w:pict w14:anchorId="7638CBE9">
                    <v:group id="Group 123" style="width:123.6pt;height:122.3pt;mso-position-horizontal-relative:char;mso-position-vertical-relative:line" coordsize="15697,15532" o:spid="_x0000_i1033">
                      <v:shape id="Image 124" style="width:15693;height:7033;mso-wrap-style:square;position:absolute;visibility:visible" alt="A couple of rectangular objects with arrows  Description automatically generated" o:spid="_x0000_s1034" type="#_x0000_t75">
                        <v:imagedata o:title="A couple of rectangular objects with arrows  Description automatically generated" r:id="rId39"/>
                      </v:shape>
                      <v:shape id="Image 125" style="width:12582;height:8054;left:414;mso-wrap-style:square;position:absolute;top:7476;visibility:visible" alt="A diagram of a diagram of a cycle  Description automatically generated" o:spid="_x0000_s1035" type="#_x0000_t75">
                        <v:imagedata o:title="A diagram of a diagram of a cycle  Description automatically generated" r:id="rId49"/>
                      </v:shape>
                      <w10:wrap type="none"/>
                      <w10:anchorlock/>
                    </v:group>
                  </w:pict>
                </mc:Fallback>
              </mc:AlternateContent>
            </w:r>
          </w:p>
        </w:tc>
      </w:tr>
      <w:tr w:rsidR="000C10E3" w14:paraId="2836AF34" w14:textId="77777777" w:rsidTr="009359CA">
        <w:trPr>
          <w:trHeight w:val="1029"/>
        </w:trPr>
        <w:tc>
          <w:tcPr>
            <w:tcW w:w="6092" w:type="dxa"/>
          </w:tcPr>
          <w:p w14:paraId="2A816D03" w14:textId="77777777" w:rsidR="000E2E95" w:rsidRPr="005669CE" w:rsidRDefault="00DB0A1C" w:rsidP="00CE74C2">
            <w:pPr>
              <w:pStyle w:val="TableParagraph"/>
              <w:spacing w:line="259" w:lineRule="auto"/>
              <w:ind w:left="107" w:right="155"/>
              <w:jc w:val="both"/>
            </w:pPr>
            <w:r w:rsidRPr="005669CE">
              <w:rPr>
                <w:lang w:val="fr-FR"/>
              </w:rPr>
              <w:t xml:space="preserve">Étape 3 : Enregistrer le numéro de l’échantillon et la lame sur le formulaire d’enregistrement et noter le </w:t>
            </w:r>
            <w:r w:rsidRPr="005669CE">
              <w:rPr>
                <w:b/>
                <w:bCs/>
                <w:lang w:val="fr-FR"/>
              </w:rPr>
              <w:t xml:space="preserve">numéro </w:t>
            </w:r>
            <w:r w:rsidRPr="005669CE">
              <w:rPr>
                <w:lang w:val="fr-FR"/>
              </w:rPr>
              <w:t xml:space="preserve">et le </w:t>
            </w:r>
            <w:r w:rsidRPr="005669CE">
              <w:rPr>
                <w:b/>
                <w:bCs/>
                <w:lang w:val="fr-FR"/>
              </w:rPr>
              <w:t>type de chaque échantillon</w:t>
            </w:r>
            <w:r w:rsidRPr="005669CE">
              <w:rPr>
                <w:lang w:val="fr-FR"/>
              </w:rPr>
              <w:t>. Si aucun œuf n’est observé, inscrire « 0 ».</w:t>
            </w:r>
          </w:p>
        </w:tc>
        <w:tc>
          <w:tcPr>
            <w:tcW w:w="3271" w:type="dxa"/>
          </w:tcPr>
          <w:p w14:paraId="423FE4BB" w14:textId="77777777" w:rsidR="000E2E95" w:rsidRPr="005669CE" w:rsidRDefault="000E2E95" w:rsidP="00CE74C2">
            <w:pPr>
              <w:pStyle w:val="TableParagraph"/>
              <w:jc w:val="both"/>
              <w:rPr>
                <w:rFonts w:ascii="Times New Roman"/>
              </w:rPr>
            </w:pPr>
          </w:p>
        </w:tc>
      </w:tr>
      <w:tr w:rsidR="000C10E3" w14:paraId="06B4521A" w14:textId="77777777" w:rsidTr="009359CA">
        <w:trPr>
          <w:trHeight w:val="1610"/>
        </w:trPr>
        <w:tc>
          <w:tcPr>
            <w:tcW w:w="6092" w:type="dxa"/>
          </w:tcPr>
          <w:p w14:paraId="54EC2C7D" w14:textId="77777777" w:rsidR="000E2E95" w:rsidRPr="005669CE" w:rsidRDefault="00DB0A1C" w:rsidP="00CE74C2">
            <w:pPr>
              <w:pStyle w:val="TableParagraph"/>
              <w:spacing w:line="259" w:lineRule="auto"/>
              <w:ind w:left="107" w:right="155"/>
              <w:jc w:val="both"/>
            </w:pPr>
            <w:r w:rsidRPr="005669CE">
              <w:rPr>
                <w:lang w:val="fr-FR"/>
              </w:rPr>
              <w:t>Étape 4 : Retirer les selles et la cellophane à l’aide d’un mouchoir en papier et les jeter dans le conteneur à déchets, puis placer toutes les lames utilisées lors de l’étude réalisée avec la technique de Kato-Katz dans le désinfectant. Ces lames doivent être nettoyées et réutilisées pour l’enquête. Procéder de la même manière pour les patrons réutilisables et éventuellement les spatules.</w:t>
            </w:r>
          </w:p>
        </w:tc>
        <w:tc>
          <w:tcPr>
            <w:tcW w:w="3271" w:type="dxa"/>
          </w:tcPr>
          <w:p w14:paraId="0373A602" w14:textId="77777777" w:rsidR="000E2E95" w:rsidRPr="005669CE" w:rsidRDefault="000E2E95" w:rsidP="00CE74C2">
            <w:pPr>
              <w:pStyle w:val="TableParagraph"/>
              <w:jc w:val="both"/>
              <w:rPr>
                <w:rFonts w:ascii="Times New Roman"/>
              </w:rPr>
            </w:pPr>
          </w:p>
        </w:tc>
      </w:tr>
    </w:tbl>
    <w:p w14:paraId="4EBE6BD6" w14:textId="77777777" w:rsidR="000E2E95" w:rsidRPr="005669CE" w:rsidRDefault="000E2E95" w:rsidP="00341A0D">
      <w:pPr>
        <w:pStyle w:val="BodyText"/>
      </w:pPr>
    </w:p>
    <w:p w14:paraId="7A3BDA03" w14:textId="77777777" w:rsidR="000E2E95" w:rsidRPr="005669CE" w:rsidRDefault="00DB0A1C" w:rsidP="00CE74C2">
      <w:pPr>
        <w:pStyle w:val="Heading5"/>
        <w:spacing w:before="1"/>
        <w:jc w:val="both"/>
      </w:pPr>
      <w:r w:rsidRPr="005669CE">
        <w:rPr>
          <w:spacing w:val="-2"/>
          <w:lang w:val="fr-FR"/>
        </w:rPr>
        <w:t xml:space="preserve">Remarque : </w:t>
      </w:r>
    </w:p>
    <w:p w14:paraId="6527AD28" w14:textId="77777777" w:rsidR="000E2E95" w:rsidRPr="005669CE" w:rsidRDefault="00DB0A1C" w:rsidP="00341A0D">
      <w:pPr>
        <w:pStyle w:val="BodyText"/>
      </w:pPr>
      <w:r w:rsidRPr="005669CE">
        <w:rPr>
          <w:lang w:val="fr-FR"/>
        </w:rPr>
        <w:t>10 % des lames (en comptant les lames A et B) sont sélectionnées de manière aléatoire et réexaminées par un technicien plus expérimenté pour le contrôle quotidiens qualité (CQ). Les résultats sont considérés comme divergents si les différences dans le nombre d’œufs sont les suivantes :</w:t>
      </w:r>
    </w:p>
    <w:p w14:paraId="3E2AD257" w14:textId="77777777" w:rsidR="000E2E95" w:rsidRPr="005669CE" w:rsidRDefault="00DB0A1C" w:rsidP="00CE74C2">
      <w:pPr>
        <w:pStyle w:val="ListParagraph"/>
        <w:numPr>
          <w:ilvl w:val="1"/>
          <w:numId w:val="4"/>
        </w:numPr>
        <w:tabs>
          <w:tab w:val="left" w:pos="833"/>
        </w:tabs>
        <w:spacing w:before="160"/>
        <w:ind w:hanging="355"/>
        <w:jc w:val="both"/>
      </w:pPr>
      <w:proofErr w:type="gramStart"/>
      <w:r w:rsidRPr="005669CE">
        <w:rPr>
          <w:lang w:val="fr-FR"/>
        </w:rPr>
        <w:t>pour</w:t>
      </w:r>
      <w:proofErr w:type="gramEnd"/>
      <w:r w:rsidRPr="005669CE">
        <w:rPr>
          <w:lang w:val="fr-FR"/>
        </w:rPr>
        <w:t xml:space="preserve"> les décomptes inférieurs à 100 œufs : plus de ±10 œufs</w:t>
      </w:r>
    </w:p>
    <w:p w14:paraId="0BD42249" w14:textId="77777777" w:rsidR="000E2E95" w:rsidRPr="005669CE" w:rsidRDefault="00DB0A1C" w:rsidP="00CE74C2">
      <w:pPr>
        <w:pStyle w:val="ListParagraph"/>
        <w:numPr>
          <w:ilvl w:val="1"/>
          <w:numId w:val="4"/>
        </w:numPr>
        <w:tabs>
          <w:tab w:val="left" w:pos="833"/>
        </w:tabs>
        <w:spacing w:before="140"/>
        <w:ind w:hanging="355"/>
        <w:jc w:val="both"/>
      </w:pPr>
      <w:proofErr w:type="gramStart"/>
      <w:r w:rsidRPr="005669CE">
        <w:rPr>
          <w:lang w:val="fr-FR"/>
        </w:rPr>
        <w:t>pour</w:t>
      </w:r>
      <w:proofErr w:type="gramEnd"/>
      <w:r w:rsidRPr="005669CE">
        <w:rPr>
          <w:lang w:val="fr-FR"/>
        </w:rPr>
        <w:t xml:space="preserve"> les décomptes &gt;100 œufs : plus de ±20 % des œufs</w:t>
      </w:r>
    </w:p>
    <w:p w14:paraId="6433F35B" w14:textId="77777777" w:rsidR="000E2E95" w:rsidRPr="005669CE" w:rsidRDefault="00DB0A1C" w:rsidP="00CE74C2">
      <w:pPr>
        <w:pStyle w:val="ListParagraph"/>
        <w:numPr>
          <w:ilvl w:val="1"/>
          <w:numId w:val="4"/>
        </w:numPr>
        <w:tabs>
          <w:tab w:val="left" w:pos="833"/>
        </w:tabs>
        <w:spacing w:before="142"/>
        <w:ind w:hanging="355"/>
        <w:jc w:val="both"/>
      </w:pPr>
      <w:proofErr w:type="gramStart"/>
      <w:r w:rsidRPr="005669CE">
        <w:rPr>
          <w:lang w:val="fr-FR"/>
        </w:rPr>
        <w:t>divergence</w:t>
      </w:r>
      <w:proofErr w:type="gramEnd"/>
      <w:r w:rsidRPr="005669CE">
        <w:rPr>
          <w:lang w:val="fr-FR"/>
        </w:rPr>
        <w:t xml:space="preserve"> entre les ovules positifs et les ovules négatifs</w:t>
      </w:r>
    </w:p>
    <w:p w14:paraId="380BC3AC" w14:textId="77777777" w:rsidR="000E2E95" w:rsidRDefault="00DB0A1C" w:rsidP="00341A0D">
      <w:pPr>
        <w:pStyle w:val="BodyText"/>
        <w:rPr>
          <w:sz w:val="16"/>
        </w:rPr>
      </w:pPr>
      <w:r w:rsidRPr="6EDEF3A1">
        <w:rPr>
          <w:lang w:val="fr-FR"/>
        </w:rPr>
        <w:t>Les œufs d’ankylostomes ne sont pas pris en compte, car ils sont connus pour devenir transparents avec le temps. Les lames discordantes sont relues une nouvelle fois par un troisième technicien et la décision finale quant aux résultats est prise sur la base des trois lectures. Si plus de 50 % des lames de contrôle qualité sont discordantes sur plusieurs jours, le technicien principal doit procéder à une nouvelle formation et discuter avec le responsable de l’équipe d’évaluation des conséquences appropriées.</w:t>
      </w:r>
    </w:p>
    <w:p w14:paraId="7A5F3178" w14:textId="7C0998F8" w:rsidR="6EDEF3A1" w:rsidRDefault="6EDEF3A1">
      <w:r>
        <w:br w:type="page"/>
      </w:r>
    </w:p>
    <w:p w14:paraId="52EA6DE4" w14:textId="119E3F17" w:rsidR="02CF11BA" w:rsidRDefault="02CF11BA" w:rsidP="6EDEF3A1">
      <w:pPr>
        <w:pStyle w:val="Heading1"/>
        <w:rPr>
          <w:lang w:val="fr-FR"/>
        </w:rPr>
      </w:pPr>
      <w:bookmarkStart w:id="84" w:name="_Toc181011895"/>
      <w:r w:rsidRPr="58B7F4CC">
        <w:rPr>
          <w:lang w:val="fr-FR"/>
        </w:rPr>
        <w:lastRenderedPageBreak/>
        <w:t xml:space="preserve">Annexe </w:t>
      </w:r>
      <w:proofErr w:type="gramStart"/>
      <w:r w:rsidRPr="58B7F4CC">
        <w:rPr>
          <w:lang w:val="fr-FR"/>
        </w:rPr>
        <w:t>6:</w:t>
      </w:r>
      <w:proofErr w:type="gramEnd"/>
      <w:r w:rsidRPr="58B7F4CC">
        <w:rPr>
          <w:lang w:val="fr-FR"/>
        </w:rPr>
        <w:t xml:space="preserve"> </w:t>
      </w:r>
      <w:r w:rsidRPr="58B7F4CC">
        <w:rPr>
          <w:lang w:val="fr"/>
        </w:rPr>
        <w:t xml:space="preserve">Évaluation de </w:t>
      </w:r>
      <w:proofErr w:type="spellStart"/>
      <w:r w:rsidRPr="58B7F4CC">
        <w:rPr>
          <w:lang w:val="fr"/>
        </w:rPr>
        <w:t>geohelmintiasis</w:t>
      </w:r>
      <w:proofErr w:type="spellEnd"/>
      <w:r w:rsidRPr="58B7F4CC">
        <w:rPr>
          <w:lang w:val="fr"/>
        </w:rPr>
        <w:t xml:space="preserve"> au cours de la SPPA</w:t>
      </w:r>
      <w:bookmarkEnd w:id="84"/>
    </w:p>
    <w:p w14:paraId="63C65B1A" w14:textId="0204F8E6" w:rsidR="6EDEF3A1" w:rsidRDefault="6EDEF3A1" w:rsidP="6EDEF3A1">
      <w:pPr>
        <w:rPr>
          <w:lang w:val="fr"/>
        </w:rPr>
      </w:pPr>
    </w:p>
    <w:p w14:paraId="40CDDC72" w14:textId="07755D88" w:rsidR="6EDEF3A1" w:rsidRDefault="12403FBE" w:rsidP="58B7F4CC">
      <w:pPr>
        <w:spacing w:after="160" w:line="276" w:lineRule="auto"/>
      </w:pPr>
      <w:r w:rsidRPr="58B7F4CC">
        <w:rPr>
          <w:rFonts w:ascii="Aptos" w:eastAsia="Aptos" w:hAnsi="Aptos" w:cs="Aptos"/>
          <w:lang w:val="fr-FR"/>
        </w:rPr>
        <w:t xml:space="preserve">Les infections par helminthes transmis par le sol (HTS) sont causées par des vers parasites, notamment </w:t>
      </w:r>
      <w:r w:rsidRPr="58B7F4CC">
        <w:rPr>
          <w:rFonts w:ascii="Aptos" w:eastAsia="Aptos" w:hAnsi="Aptos" w:cs="Aptos"/>
          <w:i/>
          <w:iCs/>
          <w:lang w:val="fr-FR"/>
        </w:rPr>
        <w:t xml:space="preserve">le ver rond (Ascaris </w:t>
      </w:r>
      <w:proofErr w:type="spellStart"/>
      <w:r w:rsidRPr="58B7F4CC">
        <w:rPr>
          <w:rFonts w:ascii="Aptos" w:eastAsia="Aptos" w:hAnsi="Aptos" w:cs="Aptos"/>
          <w:i/>
          <w:iCs/>
          <w:lang w:val="fr-FR"/>
        </w:rPr>
        <w:t>lumbricoides</w:t>
      </w:r>
      <w:proofErr w:type="spellEnd"/>
      <w:r w:rsidRPr="58B7F4CC">
        <w:rPr>
          <w:rFonts w:ascii="Aptos" w:eastAsia="Aptos" w:hAnsi="Aptos" w:cs="Aptos"/>
          <w:i/>
          <w:iCs/>
          <w:lang w:val="fr-FR"/>
        </w:rPr>
        <w:t>)</w:t>
      </w:r>
      <w:r w:rsidRPr="58B7F4CC">
        <w:rPr>
          <w:rFonts w:ascii="Aptos" w:eastAsia="Aptos" w:hAnsi="Aptos" w:cs="Aptos"/>
          <w:lang w:val="fr-FR"/>
        </w:rPr>
        <w:t xml:space="preserve">, </w:t>
      </w:r>
      <w:r w:rsidRPr="58B7F4CC">
        <w:rPr>
          <w:rFonts w:ascii="Aptos" w:eastAsia="Aptos" w:hAnsi="Aptos" w:cs="Aptos"/>
          <w:i/>
          <w:iCs/>
          <w:lang w:val="fr-FR"/>
        </w:rPr>
        <w:t>le trichocéphale (</w:t>
      </w:r>
      <w:proofErr w:type="spellStart"/>
      <w:r w:rsidRPr="58B7F4CC">
        <w:rPr>
          <w:rFonts w:ascii="Aptos" w:eastAsia="Aptos" w:hAnsi="Aptos" w:cs="Aptos"/>
          <w:i/>
          <w:iCs/>
          <w:lang w:val="fr-FR"/>
        </w:rPr>
        <w:t>Trichuris</w:t>
      </w:r>
      <w:proofErr w:type="spellEnd"/>
      <w:r w:rsidRPr="58B7F4CC">
        <w:rPr>
          <w:rFonts w:ascii="Aptos" w:eastAsia="Aptos" w:hAnsi="Aptos" w:cs="Aptos"/>
          <w:i/>
          <w:iCs/>
          <w:lang w:val="fr-FR"/>
        </w:rPr>
        <w:t xml:space="preserve"> </w:t>
      </w:r>
      <w:proofErr w:type="spellStart"/>
      <w:r w:rsidRPr="58B7F4CC">
        <w:rPr>
          <w:rFonts w:ascii="Aptos" w:eastAsia="Aptos" w:hAnsi="Aptos" w:cs="Aptos"/>
          <w:i/>
          <w:iCs/>
          <w:lang w:val="fr-FR"/>
        </w:rPr>
        <w:t>trichiura</w:t>
      </w:r>
      <w:proofErr w:type="spellEnd"/>
      <w:r w:rsidRPr="58B7F4CC">
        <w:rPr>
          <w:rFonts w:ascii="Aptos" w:eastAsia="Aptos" w:hAnsi="Aptos" w:cs="Aptos"/>
          <w:i/>
          <w:iCs/>
          <w:lang w:val="fr-FR"/>
        </w:rPr>
        <w:t>)</w:t>
      </w:r>
      <w:r w:rsidRPr="58B7F4CC">
        <w:rPr>
          <w:rFonts w:ascii="Aptos" w:eastAsia="Aptos" w:hAnsi="Aptos" w:cs="Aptos"/>
          <w:lang w:val="fr-FR"/>
        </w:rPr>
        <w:t xml:space="preserve"> et les ankylostomes </w:t>
      </w:r>
      <w:r w:rsidRPr="58B7F4CC">
        <w:rPr>
          <w:rFonts w:ascii="Aptos" w:eastAsia="Aptos" w:hAnsi="Aptos" w:cs="Aptos"/>
          <w:i/>
          <w:iCs/>
          <w:lang w:val="fr-FR"/>
        </w:rPr>
        <w:t>(</w:t>
      </w:r>
      <w:proofErr w:type="spellStart"/>
      <w:r w:rsidRPr="58B7F4CC">
        <w:rPr>
          <w:rFonts w:ascii="Aptos" w:eastAsia="Aptos" w:hAnsi="Aptos" w:cs="Aptos"/>
          <w:i/>
          <w:iCs/>
          <w:lang w:val="fr-FR"/>
        </w:rPr>
        <w:t>Necator</w:t>
      </w:r>
      <w:proofErr w:type="spellEnd"/>
      <w:r w:rsidRPr="58B7F4CC">
        <w:rPr>
          <w:rFonts w:ascii="Aptos" w:eastAsia="Aptos" w:hAnsi="Aptos" w:cs="Aptos"/>
          <w:i/>
          <w:iCs/>
          <w:lang w:val="fr-FR"/>
        </w:rPr>
        <w:t xml:space="preserve"> </w:t>
      </w:r>
      <w:proofErr w:type="spellStart"/>
      <w:r w:rsidRPr="58B7F4CC">
        <w:rPr>
          <w:rFonts w:ascii="Aptos" w:eastAsia="Aptos" w:hAnsi="Aptos" w:cs="Aptos"/>
          <w:i/>
          <w:iCs/>
          <w:lang w:val="fr-FR"/>
        </w:rPr>
        <w:t>americanus</w:t>
      </w:r>
      <w:proofErr w:type="spellEnd"/>
      <w:r w:rsidRPr="58B7F4CC">
        <w:rPr>
          <w:rFonts w:ascii="Aptos" w:eastAsia="Aptos" w:hAnsi="Aptos" w:cs="Aptos"/>
          <w:lang w:val="fr-FR"/>
        </w:rPr>
        <w:t xml:space="preserve"> et </w:t>
      </w:r>
      <w:proofErr w:type="spellStart"/>
      <w:r w:rsidRPr="58B7F4CC">
        <w:rPr>
          <w:rFonts w:ascii="Aptos" w:eastAsia="Aptos" w:hAnsi="Aptos" w:cs="Aptos"/>
          <w:i/>
          <w:iCs/>
          <w:lang w:val="fr-FR"/>
        </w:rPr>
        <w:t>Ancylostoma</w:t>
      </w:r>
      <w:proofErr w:type="spellEnd"/>
      <w:r w:rsidRPr="58B7F4CC">
        <w:rPr>
          <w:rFonts w:ascii="Aptos" w:eastAsia="Aptos" w:hAnsi="Aptos" w:cs="Aptos"/>
          <w:i/>
          <w:iCs/>
          <w:lang w:val="fr-FR"/>
        </w:rPr>
        <w:t xml:space="preserve"> </w:t>
      </w:r>
      <w:proofErr w:type="spellStart"/>
      <w:r w:rsidRPr="58B7F4CC">
        <w:rPr>
          <w:rFonts w:ascii="Aptos" w:eastAsia="Aptos" w:hAnsi="Aptos" w:cs="Aptos"/>
          <w:i/>
          <w:iCs/>
          <w:lang w:val="fr-FR"/>
        </w:rPr>
        <w:t>duodenale</w:t>
      </w:r>
      <w:proofErr w:type="spellEnd"/>
      <w:r w:rsidRPr="58B7F4CC">
        <w:rPr>
          <w:rFonts w:ascii="Aptos" w:eastAsia="Aptos" w:hAnsi="Aptos" w:cs="Aptos"/>
          <w:lang w:val="fr-FR"/>
        </w:rPr>
        <w:t>). Ces infections sont parmi les plus répandues dans le monde et sont souvent constatées dans les communautés qui n’ont pas accès à l’eau, à l’assainissement et à l’hygiène. Les infections par HTS peuvent entraîner une anémie, une malnutrition, des malaises et des troubles de la croissance et du développement.</w:t>
      </w:r>
      <w:r w:rsidRPr="58B7F4CC">
        <w:rPr>
          <w:rFonts w:ascii="Aptos" w:eastAsia="Aptos" w:hAnsi="Aptos" w:cs="Aptos"/>
          <w:vertAlign w:val="superscript"/>
          <w:lang w:val="fr-FR"/>
        </w:rPr>
        <w:t>1</w:t>
      </w:r>
      <w:r w:rsidRPr="58B7F4CC">
        <w:rPr>
          <w:rFonts w:ascii="Aptos" w:eastAsia="Aptos" w:hAnsi="Aptos" w:cs="Aptos"/>
          <w:lang w:val="fr-FR"/>
        </w:rPr>
        <w:t xml:space="preserve"> Les populations les plus exposées au risque de morbidité sont les enfants d’âge préscolaire, les enfants d’âge scolaire, les femmes en âge de procréer et les adultes exerçant des professions à haut risque, comme les cueilleurs de thé et les mineurs.</w:t>
      </w:r>
      <w:r w:rsidRPr="58B7F4CC">
        <w:rPr>
          <w:rFonts w:ascii="Aptos" w:eastAsia="Aptos" w:hAnsi="Aptos" w:cs="Aptos"/>
          <w:vertAlign w:val="superscript"/>
          <w:lang w:val="fr-FR"/>
        </w:rPr>
        <w:t>1</w:t>
      </w:r>
      <w:r w:rsidRPr="58B7F4CC">
        <w:rPr>
          <w:rFonts w:ascii="Aptos" w:eastAsia="Aptos" w:hAnsi="Aptos" w:cs="Aptos"/>
          <w:lang w:val="fr-FR"/>
        </w:rPr>
        <w:t xml:space="preserve"> </w:t>
      </w:r>
    </w:p>
    <w:p w14:paraId="4E269012" w14:textId="597C512E" w:rsidR="6EDEF3A1" w:rsidRDefault="12403FBE" w:rsidP="58B7F4CC">
      <w:pPr>
        <w:spacing w:after="160" w:line="276" w:lineRule="auto"/>
      </w:pPr>
      <w:r w:rsidRPr="58B7F4CC">
        <w:rPr>
          <w:rFonts w:ascii="Aptos" w:eastAsia="Aptos" w:hAnsi="Aptos" w:cs="Aptos"/>
          <w:lang w:val="fr-FR"/>
        </w:rPr>
        <w:t xml:space="preserve">Pour réduire les infections dans les communautés, une chimiothérapie préventive (CP) à base de </w:t>
      </w:r>
      <w:proofErr w:type="spellStart"/>
      <w:r w:rsidRPr="58B7F4CC">
        <w:rPr>
          <w:rFonts w:ascii="Aptos" w:eastAsia="Aptos" w:hAnsi="Aptos" w:cs="Aptos"/>
          <w:lang w:val="fr-FR"/>
        </w:rPr>
        <w:t>benzimidazoles</w:t>
      </w:r>
      <w:proofErr w:type="spellEnd"/>
      <w:r w:rsidRPr="58B7F4CC">
        <w:rPr>
          <w:rFonts w:ascii="Aptos" w:eastAsia="Aptos" w:hAnsi="Aptos" w:cs="Aptos"/>
          <w:lang w:val="fr-FR"/>
        </w:rPr>
        <w:t>, administrée une ou deux fois par an, est recommandée dans les zones où la prévalence de base de l’infection est ≥20 %.</w:t>
      </w:r>
      <w:r w:rsidRPr="58B7F4CC">
        <w:rPr>
          <w:rFonts w:ascii="Aptos" w:eastAsia="Aptos" w:hAnsi="Aptos" w:cs="Aptos"/>
          <w:vertAlign w:val="superscript"/>
          <w:lang w:val="fr-FR"/>
        </w:rPr>
        <w:t>2,3</w:t>
      </w:r>
      <w:r w:rsidRPr="58B7F4CC">
        <w:rPr>
          <w:rFonts w:ascii="Aptos" w:eastAsia="Aptos" w:hAnsi="Aptos" w:cs="Aptos"/>
          <w:lang w:val="fr-FR"/>
        </w:rPr>
        <w:t xml:space="preserve"> Lorsque la prévalence diminue grâce à des interventions efficaces, la fréquence du traitement est ajustée en conséquence (voir tableau X). </w:t>
      </w:r>
      <w:r w:rsidRPr="58B7F4CC">
        <w:rPr>
          <w:rFonts w:ascii="Aptos" w:eastAsia="Aptos" w:hAnsi="Aptos" w:cs="Aptos"/>
          <w:vertAlign w:val="superscript"/>
          <w:lang w:val="fr-FR"/>
        </w:rPr>
        <w:t>2-4</w:t>
      </w:r>
      <w:r w:rsidRPr="58B7F4CC">
        <w:rPr>
          <w:rFonts w:ascii="Aptos" w:eastAsia="Aptos" w:hAnsi="Aptos" w:cs="Aptos"/>
          <w:lang w:val="fr-FR"/>
        </w:rPr>
        <w:t xml:space="preserve"> Les vermifuges sont généralement administrés aux enfants d’âge scolaire par le biais de plateformes de distribution dans les écoles, et aux enfants d’âge préscolaire et aux femmes en âge de procréer par le biais de la communauté ou des soins de santé. </w:t>
      </w:r>
    </w:p>
    <w:p w14:paraId="06CB9E19" w14:textId="405563D4" w:rsidR="6EDEF3A1" w:rsidRDefault="12403FBE" w:rsidP="58B7F4CC">
      <w:pPr>
        <w:spacing w:after="160" w:line="276" w:lineRule="auto"/>
      </w:pPr>
      <w:r w:rsidRPr="58B7F4CC">
        <w:rPr>
          <w:rFonts w:ascii="Aptos" w:eastAsia="Aptos" w:hAnsi="Aptos" w:cs="Aptos"/>
          <w:lang w:val="fr-FR"/>
        </w:rPr>
        <w:t xml:space="preserve">Grâce à ces efforts, combinés à des initiatives communautaires plus larges telles que le changement de comportement et l’amélioration de l’accès à l’eau potable et à l’assainissement, l’OMS est à la tête de l’effort mondial pour atteindre et maintenir l’élimination de la morbidité due aux HTS chez les enfants. Cet objectif, appelé « élimination en tant que problème de santé publique » (EPHP, Elimination as </w:t>
      </w:r>
      <w:proofErr w:type="gramStart"/>
      <w:r w:rsidRPr="58B7F4CC">
        <w:rPr>
          <w:rFonts w:ascii="Aptos" w:eastAsia="Aptos" w:hAnsi="Aptos" w:cs="Aptos"/>
          <w:lang w:val="fr-FR"/>
        </w:rPr>
        <w:t>a</w:t>
      </w:r>
      <w:proofErr w:type="gramEnd"/>
      <w:r w:rsidRPr="58B7F4CC">
        <w:rPr>
          <w:rFonts w:ascii="Aptos" w:eastAsia="Aptos" w:hAnsi="Aptos" w:cs="Aptos"/>
          <w:lang w:val="fr-FR"/>
        </w:rPr>
        <w:t xml:space="preserve"> Public </w:t>
      </w:r>
      <w:proofErr w:type="spellStart"/>
      <w:r w:rsidRPr="58B7F4CC">
        <w:rPr>
          <w:rFonts w:ascii="Aptos" w:eastAsia="Aptos" w:hAnsi="Aptos" w:cs="Aptos"/>
          <w:lang w:val="fr-FR"/>
        </w:rPr>
        <w:t>Health</w:t>
      </w:r>
      <w:proofErr w:type="spellEnd"/>
      <w:r w:rsidRPr="58B7F4CC">
        <w:rPr>
          <w:rFonts w:ascii="Aptos" w:eastAsia="Aptos" w:hAnsi="Aptos" w:cs="Aptos"/>
          <w:lang w:val="fr-FR"/>
        </w:rPr>
        <w:t xml:space="preserve"> </w:t>
      </w:r>
      <w:proofErr w:type="spellStart"/>
      <w:r w:rsidRPr="58B7F4CC">
        <w:rPr>
          <w:rFonts w:ascii="Aptos" w:eastAsia="Aptos" w:hAnsi="Aptos" w:cs="Aptos"/>
          <w:lang w:val="fr-FR"/>
        </w:rPr>
        <w:t>Problem</w:t>
      </w:r>
      <w:proofErr w:type="spellEnd"/>
      <w:r w:rsidRPr="58B7F4CC">
        <w:rPr>
          <w:rFonts w:ascii="Aptos" w:eastAsia="Aptos" w:hAnsi="Aptos" w:cs="Aptos"/>
          <w:lang w:val="fr-FR"/>
        </w:rPr>
        <w:t xml:space="preserve">), est défini pour les HTS par la réduction de la prévalence de l’infection d’intensité modérée à forte (MHII, </w:t>
      </w:r>
      <w:proofErr w:type="spellStart"/>
      <w:r w:rsidRPr="58B7F4CC">
        <w:rPr>
          <w:rFonts w:ascii="Aptos" w:eastAsia="Aptos" w:hAnsi="Aptos" w:cs="Aptos"/>
          <w:lang w:val="fr-FR"/>
        </w:rPr>
        <w:t>moderate</w:t>
      </w:r>
      <w:proofErr w:type="spellEnd"/>
      <w:r w:rsidRPr="58B7F4CC">
        <w:rPr>
          <w:rFonts w:ascii="Aptos" w:eastAsia="Aptos" w:hAnsi="Aptos" w:cs="Aptos"/>
          <w:lang w:val="fr-FR"/>
        </w:rPr>
        <w:t>-to-</w:t>
      </w:r>
      <w:proofErr w:type="spellStart"/>
      <w:r w:rsidRPr="58B7F4CC">
        <w:rPr>
          <w:rFonts w:ascii="Aptos" w:eastAsia="Aptos" w:hAnsi="Aptos" w:cs="Aptos"/>
          <w:lang w:val="fr-FR"/>
        </w:rPr>
        <w:t>heavy</w:t>
      </w:r>
      <w:proofErr w:type="spellEnd"/>
      <w:r w:rsidRPr="58B7F4CC">
        <w:rPr>
          <w:rFonts w:ascii="Aptos" w:eastAsia="Aptos" w:hAnsi="Aptos" w:cs="Aptos"/>
          <w:lang w:val="fr-FR"/>
        </w:rPr>
        <w:t>-</w:t>
      </w:r>
      <w:proofErr w:type="spellStart"/>
      <w:r w:rsidRPr="58B7F4CC">
        <w:rPr>
          <w:rFonts w:ascii="Aptos" w:eastAsia="Aptos" w:hAnsi="Aptos" w:cs="Aptos"/>
          <w:lang w:val="fr-FR"/>
        </w:rPr>
        <w:t>intensity</w:t>
      </w:r>
      <w:proofErr w:type="spellEnd"/>
      <w:r w:rsidRPr="58B7F4CC">
        <w:rPr>
          <w:rFonts w:ascii="Aptos" w:eastAsia="Aptos" w:hAnsi="Aptos" w:cs="Aptos"/>
          <w:lang w:val="fr-FR"/>
        </w:rPr>
        <w:t xml:space="preserve"> infection) à &lt;2 % chez les enfants.</w:t>
      </w:r>
      <w:r w:rsidRPr="58B7F4CC">
        <w:rPr>
          <w:rFonts w:ascii="Aptos" w:eastAsia="Aptos" w:hAnsi="Aptos" w:cs="Aptos"/>
          <w:vertAlign w:val="superscript"/>
          <w:lang w:val="fr-FR"/>
        </w:rPr>
        <w:t>5-7</w:t>
      </w:r>
      <w:r w:rsidRPr="58B7F4CC">
        <w:rPr>
          <w:rFonts w:ascii="Aptos" w:eastAsia="Aptos" w:hAnsi="Aptos" w:cs="Aptos"/>
          <w:lang w:val="fr-FR"/>
        </w:rPr>
        <w:t xml:space="preserve"> </w:t>
      </w:r>
    </w:p>
    <w:p w14:paraId="40E14659" w14:textId="45096EDA" w:rsidR="6EDEF3A1" w:rsidRDefault="12403FBE" w:rsidP="58B7F4CC">
      <w:pPr>
        <w:spacing w:after="160" w:line="276" w:lineRule="auto"/>
      </w:pPr>
      <w:r w:rsidRPr="58B7F4CC">
        <w:rPr>
          <w:rFonts w:ascii="Aptos" w:eastAsia="Aptos" w:hAnsi="Aptos" w:cs="Aptos"/>
          <w:lang w:val="fr"/>
        </w:rPr>
        <w:t>Pour contrôler le succès des programmes de lutte contre les HTS, l’OMS recommande des enquêtes parasitologiques périodiques. Ces enquêtes, généralement menées au niveau de l’unité de mise en œuvre (UMO) après cinq séries de CP efficaces, fournissent des données essentielles sur l’épidémiologie actuelle de la maladie et ont deux objectifs principaux :</w:t>
      </w:r>
    </w:p>
    <w:p w14:paraId="4F4B7734" w14:textId="3D9BB1EC" w:rsidR="6EDEF3A1" w:rsidRDefault="12403FBE" w:rsidP="58B7F4CC">
      <w:pPr>
        <w:pStyle w:val="ListParagraph"/>
        <w:numPr>
          <w:ilvl w:val="0"/>
          <w:numId w:val="3"/>
        </w:numPr>
        <w:spacing w:line="276" w:lineRule="auto"/>
        <w:rPr>
          <w:rFonts w:ascii="Aptos" w:eastAsia="Aptos" w:hAnsi="Aptos" w:cs="Aptos"/>
          <w:lang w:val="fr"/>
        </w:rPr>
      </w:pPr>
      <w:r w:rsidRPr="58B7F4CC">
        <w:rPr>
          <w:rFonts w:ascii="Aptos" w:eastAsia="Aptos" w:hAnsi="Aptos" w:cs="Aptos"/>
          <w:lang w:val="fr"/>
        </w:rPr>
        <w:t>Orienter les décisions relatives à la fréquence des traitements vermifuges au sein de l’UMO ; et</w:t>
      </w:r>
    </w:p>
    <w:p w14:paraId="5CACA7A0" w14:textId="3E7048E2" w:rsidR="6EDEF3A1" w:rsidRDefault="12403FBE" w:rsidP="58B7F4CC">
      <w:pPr>
        <w:pStyle w:val="ListParagraph"/>
        <w:numPr>
          <w:ilvl w:val="0"/>
          <w:numId w:val="3"/>
        </w:numPr>
        <w:spacing w:line="276" w:lineRule="auto"/>
        <w:rPr>
          <w:rFonts w:ascii="Aptos" w:eastAsia="Aptos" w:hAnsi="Aptos" w:cs="Aptos"/>
          <w:lang w:val="fr"/>
        </w:rPr>
      </w:pPr>
      <w:r w:rsidRPr="58B7F4CC">
        <w:rPr>
          <w:rFonts w:ascii="Aptos" w:eastAsia="Aptos" w:hAnsi="Aptos" w:cs="Aptos"/>
          <w:lang w:val="fr"/>
        </w:rPr>
        <w:t>Évaluer si le seuil de l’EPHP (&lt;2 % de prévalence de la MHII chez les enfants) a été atteint dans l’UMO.</w:t>
      </w:r>
    </w:p>
    <w:p w14:paraId="4267EB07" w14:textId="69DC9B92" w:rsidR="6EDEF3A1" w:rsidRDefault="12403FBE" w:rsidP="58B7F4CC">
      <w:pPr>
        <w:spacing w:before="240" w:after="160" w:line="276" w:lineRule="auto"/>
      </w:pPr>
      <w:r w:rsidRPr="58B7F4CC">
        <w:rPr>
          <w:rFonts w:ascii="Aptos" w:eastAsia="Aptos" w:hAnsi="Aptos" w:cs="Aptos"/>
          <w:b/>
          <w:bCs/>
          <w:i/>
          <w:iCs/>
          <w:sz w:val="24"/>
          <w:szCs w:val="24"/>
          <w:lang w:val="fr"/>
        </w:rPr>
        <w:t>Inclure une enquête sur les HTS dans le cadre de la SPPA</w:t>
      </w:r>
    </w:p>
    <w:p w14:paraId="0397A199" w14:textId="303F1FD6" w:rsidR="6EDEF3A1" w:rsidRDefault="12403FBE" w:rsidP="58B7F4CC">
      <w:pPr>
        <w:spacing w:after="160" w:line="276" w:lineRule="auto"/>
      </w:pPr>
      <w:r w:rsidRPr="58B7F4CC">
        <w:rPr>
          <w:rFonts w:ascii="Aptos" w:eastAsia="Aptos" w:hAnsi="Aptos" w:cs="Aptos"/>
          <w:lang w:val="fr-FR"/>
        </w:rPr>
        <w:t xml:space="preserve">La réalisation d’une évaluation pratique ou de précision de la schistosomiase (SPPA, </w:t>
      </w:r>
      <w:proofErr w:type="spellStart"/>
      <w:r w:rsidRPr="58B7F4CC">
        <w:rPr>
          <w:rFonts w:ascii="Aptos" w:eastAsia="Aptos" w:hAnsi="Aptos" w:cs="Aptos"/>
          <w:lang w:val="fr-FR"/>
        </w:rPr>
        <w:t>Schistosomiasis</w:t>
      </w:r>
      <w:proofErr w:type="spellEnd"/>
      <w:r w:rsidRPr="58B7F4CC">
        <w:rPr>
          <w:rFonts w:ascii="Aptos" w:eastAsia="Aptos" w:hAnsi="Aptos" w:cs="Aptos"/>
          <w:lang w:val="fr-FR"/>
        </w:rPr>
        <w:t xml:space="preserve"> </w:t>
      </w:r>
      <w:proofErr w:type="spellStart"/>
      <w:r w:rsidRPr="58B7F4CC">
        <w:rPr>
          <w:rFonts w:ascii="Aptos" w:eastAsia="Aptos" w:hAnsi="Aptos" w:cs="Aptos"/>
          <w:lang w:val="fr-FR"/>
        </w:rPr>
        <w:t>Practical</w:t>
      </w:r>
      <w:proofErr w:type="spellEnd"/>
      <w:r w:rsidRPr="58B7F4CC">
        <w:rPr>
          <w:rFonts w:ascii="Aptos" w:eastAsia="Aptos" w:hAnsi="Aptos" w:cs="Aptos"/>
          <w:lang w:val="fr-FR"/>
        </w:rPr>
        <w:t xml:space="preserve"> and </w:t>
      </w:r>
      <w:proofErr w:type="spellStart"/>
      <w:r w:rsidRPr="58B7F4CC">
        <w:rPr>
          <w:rFonts w:ascii="Aptos" w:eastAsia="Aptos" w:hAnsi="Aptos" w:cs="Aptos"/>
          <w:lang w:val="fr-FR"/>
        </w:rPr>
        <w:t>Precision</w:t>
      </w:r>
      <w:proofErr w:type="spellEnd"/>
      <w:r w:rsidRPr="58B7F4CC">
        <w:rPr>
          <w:rFonts w:ascii="Aptos" w:eastAsia="Aptos" w:hAnsi="Aptos" w:cs="Aptos"/>
          <w:lang w:val="fr-FR"/>
        </w:rPr>
        <w:t xml:space="preserve"> </w:t>
      </w:r>
      <w:proofErr w:type="spellStart"/>
      <w:r w:rsidRPr="58B7F4CC">
        <w:rPr>
          <w:rFonts w:ascii="Aptos" w:eastAsia="Aptos" w:hAnsi="Aptos" w:cs="Aptos"/>
          <w:lang w:val="fr-FR"/>
        </w:rPr>
        <w:t>Assessment</w:t>
      </w:r>
      <w:proofErr w:type="spellEnd"/>
      <w:r w:rsidRPr="58B7F4CC">
        <w:rPr>
          <w:rFonts w:ascii="Aptos" w:eastAsia="Aptos" w:hAnsi="Aptos" w:cs="Aptos"/>
          <w:lang w:val="fr-FR"/>
        </w:rPr>
        <w:t>) permet de recueillir des informations précieuses sur les HTS tout en intégrant les efforts de collecte de données, en réduisant le besoin d’enquêtes distinctes et en rationalisant l’évaluation des programmes.</w:t>
      </w:r>
    </w:p>
    <w:p w14:paraId="0CA42408" w14:textId="13017AE7" w:rsidR="6EDEF3A1" w:rsidRDefault="12403FBE" w:rsidP="58B7F4CC">
      <w:pPr>
        <w:spacing w:after="160" w:line="276" w:lineRule="auto"/>
      </w:pPr>
      <w:r w:rsidRPr="58B7F4CC">
        <w:rPr>
          <w:rFonts w:ascii="Aptos" w:eastAsia="Aptos" w:hAnsi="Aptos" w:cs="Aptos"/>
          <w:lang w:val="fr"/>
        </w:rPr>
        <w:t>Un programme de contrôle doit envisager d’inclure l’évaluation des HTS au cours d’une SPPA si :</w:t>
      </w:r>
    </w:p>
    <w:p w14:paraId="7A39A2D7" w14:textId="4AB48CC3" w:rsidR="6EDEF3A1" w:rsidRDefault="12403FBE" w:rsidP="58B7F4CC">
      <w:pPr>
        <w:pStyle w:val="ListParagraph"/>
        <w:numPr>
          <w:ilvl w:val="0"/>
          <w:numId w:val="2"/>
        </w:numPr>
        <w:spacing w:line="276" w:lineRule="auto"/>
        <w:rPr>
          <w:rFonts w:ascii="Aptos" w:eastAsia="Aptos" w:hAnsi="Aptos" w:cs="Aptos"/>
          <w:vertAlign w:val="superscript"/>
          <w:lang w:val="fr"/>
        </w:rPr>
      </w:pPr>
      <w:r w:rsidRPr="58B7F4CC">
        <w:rPr>
          <w:rFonts w:ascii="Aptos" w:eastAsia="Aptos" w:hAnsi="Aptos" w:cs="Aptos"/>
          <w:b/>
          <w:bCs/>
          <w:lang w:val="fr"/>
        </w:rPr>
        <w:t>Une enquête sur l’impact des HTS est recommandée par l’OMS.</w:t>
      </w:r>
      <w:r w:rsidRPr="58B7F4CC">
        <w:rPr>
          <w:rFonts w:ascii="Aptos" w:eastAsia="Aptos" w:hAnsi="Aptos" w:cs="Aptos"/>
          <w:lang w:val="fr"/>
        </w:rPr>
        <w:t xml:space="preserve"> L’OMS recommande une </w:t>
      </w:r>
      <w:r w:rsidRPr="58B7F4CC">
        <w:rPr>
          <w:rFonts w:ascii="Aptos" w:eastAsia="Aptos" w:hAnsi="Aptos" w:cs="Aptos"/>
          <w:lang w:val="fr"/>
        </w:rPr>
        <w:lastRenderedPageBreak/>
        <w:t xml:space="preserve">enquête d’impact dans une UMO si la distribution de CP est en cours depuis ≥5 ans </w:t>
      </w:r>
      <w:r w:rsidRPr="58B7F4CC">
        <w:rPr>
          <w:rFonts w:ascii="Aptos" w:eastAsia="Aptos" w:hAnsi="Aptos" w:cs="Aptos"/>
          <w:vertAlign w:val="superscript"/>
          <w:lang w:val="fr"/>
        </w:rPr>
        <w:t>4,6,7</w:t>
      </w:r>
      <w:r w:rsidRPr="58B7F4CC">
        <w:rPr>
          <w:rFonts w:ascii="Aptos" w:eastAsia="Aptos" w:hAnsi="Aptos" w:cs="Aptos"/>
          <w:lang w:val="fr"/>
        </w:rPr>
        <w:t xml:space="preserve">et si une couverture effective (≥ 75 % parmi les groupes à risque ciblés) a été régulièrement atteinte lors de chaque distribution. </w:t>
      </w:r>
      <w:r w:rsidRPr="58B7F4CC">
        <w:rPr>
          <w:rFonts w:ascii="Aptos" w:eastAsia="Aptos" w:hAnsi="Aptos" w:cs="Aptos"/>
          <w:vertAlign w:val="superscript"/>
          <w:lang w:val="fr"/>
        </w:rPr>
        <w:t>4</w:t>
      </w:r>
    </w:p>
    <w:p w14:paraId="5C2DA16B" w14:textId="3246ABBF" w:rsidR="6EDEF3A1" w:rsidRDefault="12403FBE" w:rsidP="58B7F4CC">
      <w:pPr>
        <w:pStyle w:val="ListParagraph"/>
        <w:numPr>
          <w:ilvl w:val="0"/>
          <w:numId w:val="2"/>
        </w:numPr>
        <w:spacing w:line="276" w:lineRule="auto"/>
        <w:rPr>
          <w:rFonts w:ascii="Aptos" w:eastAsia="Aptos" w:hAnsi="Aptos" w:cs="Aptos"/>
          <w:lang w:val="fr"/>
        </w:rPr>
      </w:pPr>
      <w:r w:rsidRPr="58B7F4CC">
        <w:rPr>
          <w:rFonts w:ascii="Aptos" w:eastAsia="Aptos" w:hAnsi="Aptos" w:cs="Aptos"/>
          <w:b/>
          <w:bCs/>
          <w:lang w:val="fr"/>
        </w:rPr>
        <w:t>Le programme a besoin de preuves supplémentaires sur l’épidémiologie des HTS.</w:t>
      </w:r>
      <w:r w:rsidRPr="58B7F4CC">
        <w:rPr>
          <w:rFonts w:ascii="Aptos" w:eastAsia="Aptos" w:hAnsi="Aptos" w:cs="Aptos"/>
          <w:lang w:val="fr"/>
        </w:rPr>
        <w:t xml:space="preserve"> Les enquêtes sur les HTS peuvent être justifiées pendant la SPPA si le programme manque de données de base sur les HTS, s’il cherche à obtenir des estimations actualisées ou plus solides que celles obtenues lors des enquêtes précédentes, ou s’il y a des raisons de penser que de nouvelles preuves sont nécessaires. </w:t>
      </w:r>
    </w:p>
    <w:p w14:paraId="2FA522E6" w14:textId="4D4CF8C1" w:rsidR="6EDEF3A1" w:rsidRDefault="12403FBE" w:rsidP="58B7F4CC">
      <w:pPr>
        <w:spacing w:after="160" w:line="276" w:lineRule="auto"/>
      </w:pPr>
      <w:r w:rsidRPr="58B7F4CC">
        <w:rPr>
          <w:rFonts w:ascii="Aptos" w:eastAsia="Aptos" w:hAnsi="Aptos" w:cs="Aptos"/>
          <w:b/>
          <w:bCs/>
          <w:lang w:val="fr"/>
        </w:rPr>
        <w:t xml:space="preserve">Durant les évaluations pratiques : </w:t>
      </w:r>
      <w:r w:rsidRPr="58B7F4CC">
        <w:rPr>
          <w:rFonts w:ascii="Aptos" w:eastAsia="Aptos" w:hAnsi="Aptos" w:cs="Aptos"/>
          <w:lang w:val="fr"/>
        </w:rPr>
        <w:t xml:space="preserve">Lorsqu’une évaluation pratique de la schistosomiase est menée dans une UMO, elle peut également servir d’enquête de référence ou d’enquête d’impact sur les HTS </w:t>
      </w:r>
      <w:r w:rsidRPr="58B7F4CC">
        <w:rPr>
          <w:rFonts w:ascii="Aptos" w:eastAsia="Aptos" w:hAnsi="Aptos" w:cs="Aptos"/>
          <w:vertAlign w:val="superscript"/>
          <w:lang w:val="fr"/>
        </w:rPr>
        <w:t>4</w:t>
      </w:r>
      <w:r w:rsidRPr="58B7F4CC">
        <w:rPr>
          <w:rFonts w:ascii="Aptos" w:eastAsia="Aptos" w:hAnsi="Aptos" w:cs="Aptos"/>
          <w:lang w:val="fr"/>
        </w:rPr>
        <w:t xml:space="preserve"> (toutefois, les enquêtes d’impact étant désormais plus courantes, le texte qui suit se concentre sur cet objectif).</w:t>
      </w:r>
    </w:p>
    <w:p w14:paraId="37A6377D" w14:textId="24C655E1" w:rsidR="6EDEF3A1" w:rsidRDefault="12403FBE" w:rsidP="58B7F4CC">
      <w:pPr>
        <w:spacing w:after="160" w:line="276" w:lineRule="auto"/>
      </w:pPr>
      <w:r w:rsidRPr="58B7F4CC">
        <w:rPr>
          <w:rFonts w:ascii="Aptos" w:eastAsia="Aptos" w:hAnsi="Aptos" w:cs="Aptos"/>
          <w:lang w:val="fr-FR"/>
        </w:rPr>
        <w:t>Afin de donner aux programmes la souplesse nécessaire pour mener des enquêtes d’impact sur les HTS dans la limite des ressources disponibles, l’OMS ne recommande pas un modèle particulier, mais propose un cadre général.</w:t>
      </w:r>
      <w:r w:rsidRPr="58B7F4CC">
        <w:rPr>
          <w:rFonts w:ascii="Aptos" w:eastAsia="Aptos" w:hAnsi="Aptos" w:cs="Aptos"/>
          <w:vertAlign w:val="superscript"/>
          <w:lang w:val="fr-FR"/>
        </w:rPr>
        <w:t>4</w:t>
      </w:r>
      <w:r w:rsidRPr="58B7F4CC">
        <w:rPr>
          <w:rFonts w:ascii="Aptos" w:eastAsia="Aptos" w:hAnsi="Aptos" w:cs="Aptos"/>
          <w:lang w:val="fr-FR"/>
        </w:rPr>
        <w:t xml:space="preserve"> Par exemple, pour estimer la prévalence de l’infection, le </w:t>
      </w:r>
      <w:r w:rsidRPr="58B7F4CC">
        <w:rPr>
          <w:rFonts w:ascii="Aptos" w:eastAsia="Aptos" w:hAnsi="Aptos" w:cs="Aptos"/>
          <w:i/>
          <w:iCs/>
          <w:lang w:val="fr-FR"/>
        </w:rPr>
        <w:t>guide de l’OMS pour la cartographie des maladies tropicales négligées pouvant faire l’objet d’une chimiothérapie préventive dans la région africaine</w:t>
      </w:r>
      <w:r w:rsidRPr="58B7F4CC">
        <w:rPr>
          <w:rFonts w:ascii="Aptos" w:eastAsia="Aptos" w:hAnsi="Aptos" w:cs="Aptos"/>
          <w:lang w:val="fr-FR"/>
        </w:rPr>
        <w:t xml:space="preserve"> recommande d’échantillonner 50 élèves âgés de 10 à 14 ans dans chacun des 5 sites (c’est-à-dire des écoles) au sein d’un district (ou d’une zone écologique lorsque les ressources sont limitées).</w:t>
      </w:r>
      <w:r w:rsidRPr="58B7F4CC">
        <w:rPr>
          <w:rFonts w:ascii="Aptos" w:eastAsia="Aptos" w:hAnsi="Aptos" w:cs="Aptos"/>
          <w:vertAlign w:val="superscript"/>
          <w:lang w:val="fr-FR"/>
        </w:rPr>
        <w:t>8</w:t>
      </w:r>
      <w:r w:rsidRPr="58B7F4CC">
        <w:rPr>
          <w:rFonts w:ascii="Aptos" w:eastAsia="Aptos" w:hAnsi="Aptos" w:cs="Aptos"/>
          <w:lang w:val="fr-FR"/>
        </w:rPr>
        <w:t xml:space="preserve"> Pour suivre les progrès accomplis dans la réalisation de l’EPHP (&lt;2 % de prévalence de la MHII), les </w:t>
      </w:r>
      <w:r w:rsidRPr="58B7F4CC">
        <w:rPr>
          <w:rFonts w:ascii="Aptos" w:eastAsia="Aptos" w:hAnsi="Aptos" w:cs="Aptos"/>
          <w:i/>
          <w:iCs/>
          <w:lang w:val="fr-FR"/>
        </w:rPr>
        <w:t xml:space="preserve">objectifs 2030 des programmes de lutte contre les </w:t>
      </w:r>
      <w:proofErr w:type="spellStart"/>
      <w:r w:rsidRPr="58B7F4CC">
        <w:rPr>
          <w:rFonts w:ascii="Aptos" w:eastAsia="Aptos" w:hAnsi="Aptos" w:cs="Aptos"/>
          <w:i/>
          <w:iCs/>
          <w:lang w:val="fr-FR"/>
        </w:rPr>
        <w:t>géohelminthiases</w:t>
      </w:r>
      <w:proofErr w:type="spellEnd"/>
      <w:r w:rsidRPr="58B7F4CC">
        <w:rPr>
          <w:rFonts w:ascii="Aptos" w:eastAsia="Aptos" w:hAnsi="Aptos" w:cs="Aptos"/>
          <w:lang w:val="fr-FR"/>
        </w:rPr>
        <w:t xml:space="preserve"> de l’OMS conseillent d’échantillonner 250 enfants d’âges préscolaire et scolaire dans chaque zone écologiquement homogène.</w:t>
      </w:r>
      <w:r w:rsidRPr="58B7F4CC">
        <w:rPr>
          <w:rFonts w:ascii="Aptos" w:eastAsia="Aptos" w:hAnsi="Aptos" w:cs="Aptos"/>
          <w:vertAlign w:val="superscript"/>
          <w:lang w:val="fr-FR"/>
        </w:rPr>
        <w:t>6</w:t>
      </w:r>
      <w:r w:rsidRPr="58B7F4CC">
        <w:rPr>
          <w:rFonts w:ascii="Aptos" w:eastAsia="Aptos" w:hAnsi="Aptos" w:cs="Aptos"/>
          <w:lang w:val="fr-FR"/>
        </w:rPr>
        <w:t xml:space="preserve"> Le </w:t>
      </w:r>
      <w:r w:rsidRPr="58B7F4CC">
        <w:rPr>
          <w:rFonts w:ascii="Aptos" w:eastAsia="Aptos" w:hAnsi="Aptos" w:cs="Aptos"/>
          <w:i/>
          <w:iCs/>
          <w:lang w:val="fr-FR"/>
        </w:rPr>
        <w:t>compendium d’indicateurs pour le suivi et l’évaluation des progrès de la feuille de route pour les maladies tropicales négligées de 2021 à 2030</w:t>
      </w:r>
      <w:r w:rsidRPr="58B7F4CC">
        <w:rPr>
          <w:rFonts w:ascii="Aptos" w:eastAsia="Aptos" w:hAnsi="Aptos" w:cs="Aptos"/>
          <w:lang w:val="fr-FR"/>
        </w:rPr>
        <w:t xml:space="preserve"> de l’OMS suggère la collecte de données au niveau du district.</w:t>
      </w:r>
      <w:r w:rsidRPr="58B7F4CC">
        <w:rPr>
          <w:rFonts w:ascii="Aptos" w:eastAsia="Aptos" w:hAnsi="Aptos" w:cs="Aptos"/>
          <w:vertAlign w:val="superscript"/>
          <w:lang w:val="fr-FR"/>
        </w:rPr>
        <w:t>7</w:t>
      </w:r>
    </w:p>
    <w:p w14:paraId="34AC6C9C" w14:textId="48774A97" w:rsidR="6EDEF3A1" w:rsidRDefault="12403FBE" w:rsidP="58B7F4CC">
      <w:pPr>
        <w:spacing w:after="160" w:line="276" w:lineRule="auto"/>
      </w:pPr>
      <w:r w:rsidRPr="58B7F4CC">
        <w:rPr>
          <w:rFonts w:ascii="Aptos" w:eastAsia="Aptos" w:hAnsi="Aptos" w:cs="Aptos"/>
          <w:lang w:val="fr"/>
        </w:rPr>
        <w:t>L’évaluation pratique, qui implique l’échantillonnage aléatoire de 20 élèves dans chacun des 15 sites (soit un total de 300 élèves) au sein de l’UMO, est étroitement liée à l’approche de l’enquête sur l’impact des HTS couramment utilisée, où 5 sites de 50 élèves chacun (soit un total de 250 élèves) sont échantillonnés au sein de chaque zone écologique ou UMO. Les deux modèles utilisent une approche d’échantillonnage en grappes, sélectionnant de manière aléatoire les sites et les élèves au sein de chaque site. L’échantillonnage aléatoire systématique utilisé dans le cadre de l’évaluation pratique garantit une meilleure représentation géographique dans l’UMO que l’échantillonnage aléatoire simple. Toutefois, par rapport à l’approche souvent utilisée (5 sites/50 élèves), l’évaluation pratique dépasse la taille d’échantillon de 250 élèves recommandée par l’OMS pour le suivi de la prévalence de la MHII, améliore la représentation géographique et réduit la marge d’erreur de l’estimation de la prévalence au niveau de l’UMO. Par conséquent, l’évaluation pratique est comparativement adaptée pour guider les décisions de traitement des HTS et suivre les progrès vers leur élimination en tant que problème de santé publique dans l’UMO.</w:t>
      </w:r>
    </w:p>
    <w:p w14:paraId="22894137" w14:textId="10A42EBA" w:rsidR="6EDEF3A1" w:rsidRDefault="12403FBE" w:rsidP="58B7F4CC">
      <w:pPr>
        <w:spacing w:after="160" w:line="276" w:lineRule="auto"/>
      </w:pPr>
      <w:r w:rsidRPr="58B7F4CC">
        <w:rPr>
          <w:rFonts w:ascii="Aptos" w:eastAsia="Aptos" w:hAnsi="Aptos" w:cs="Aptos"/>
          <w:lang w:val="fr-FR"/>
        </w:rPr>
        <w:t xml:space="preserve">Il convient de noter que dans les régions où la schistosomiase est endémique et où l’examen des selles par la technique de Kato-Katz n’est pas encore effectué dans le cadre de la SPPA parce que l’endémicité est due au </w:t>
      </w:r>
      <w:r w:rsidRPr="58B7F4CC">
        <w:rPr>
          <w:rFonts w:ascii="Aptos" w:eastAsia="Aptos" w:hAnsi="Aptos" w:cs="Aptos"/>
          <w:i/>
          <w:iCs/>
          <w:lang w:val="fr-FR"/>
        </w:rPr>
        <w:t xml:space="preserve">S. </w:t>
      </w:r>
      <w:proofErr w:type="spellStart"/>
      <w:r w:rsidRPr="58B7F4CC">
        <w:rPr>
          <w:rFonts w:ascii="Aptos" w:eastAsia="Aptos" w:hAnsi="Aptos" w:cs="Aptos"/>
          <w:i/>
          <w:iCs/>
          <w:lang w:val="fr-FR"/>
        </w:rPr>
        <w:t>haematobium</w:t>
      </w:r>
      <w:proofErr w:type="spellEnd"/>
      <w:r w:rsidRPr="58B7F4CC">
        <w:rPr>
          <w:rFonts w:ascii="Aptos" w:eastAsia="Aptos" w:hAnsi="Aptos" w:cs="Aptos"/>
          <w:lang w:val="fr-FR"/>
        </w:rPr>
        <w:t xml:space="preserve">, les programmes peuvent envisager d’effectuer la collecte des selles dans un </w:t>
      </w:r>
      <w:r w:rsidRPr="58B7F4CC">
        <w:rPr>
          <w:rFonts w:ascii="Aptos" w:eastAsia="Aptos" w:hAnsi="Aptos" w:cs="Aptos"/>
          <w:lang w:val="fr-FR"/>
        </w:rPr>
        <w:lastRenderedPageBreak/>
        <w:t>nombre réduit de sites (par exemple des écoles) à des fins spécifiques d’estimation des HTS. Il n’existe actuellement aucune donnée sur le nombre de sites nécessaires pour y parvenir de manière fiable ; toutefois, les efforts de modélisation en cours visent à déterminer si un échantillonnage réduit (à partir de la SPPA standard) pourrait fournir des données suffisantes pour l’évaluation des HTS dans ces zones.</w:t>
      </w:r>
    </w:p>
    <w:p w14:paraId="3C70A622" w14:textId="7FA0B118" w:rsidR="6EDEF3A1" w:rsidRDefault="12403FBE" w:rsidP="58B7F4CC">
      <w:pPr>
        <w:spacing w:after="160" w:line="276" w:lineRule="auto"/>
      </w:pPr>
      <w:r w:rsidRPr="58B7F4CC">
        <w:rPr>
          <w:rFonts w:ascii="Aptos" w:eastAsia="Aptos" w:hAnsi="Aptos" w:cs="Aptos"/>
          <w:lang w:val="fr"/>
        </w:rPr>
        <w:t xml:space="preserve"> </w:t>
      </w:r>
    </w:p>
    <w:p w14:paraId="5789EF1F" w14:textId="5A2D847A" w:rsidR="6EDEF3A1" w:rsidRDefault="12403FBE" w:rsidP="58B7F4CC">
      <w:pPr>
        <w:spacing w:after="160" w:line="276" w:lineRule="auto"/>
      </w:pPr>
      <w:r w:rsidRPr="58B7F4CC">
        <w:rPr>
          <w:rFonts w:ascii="Aptos" w:eastAsia="Aptos" w:hAnsi="Aptos" w:cs="Aptos"/>
          <w:b/>
          <w:bCs/>
          <w:lang w:val="fr"/>
        </w:rPr>
        <w:t xml:space="preserve">Durant les évaluations de précision : </w:t>
      </w:r>
      <w:r w:rsidRPr="58B7F4CC">
        <w:rPr>
          <w:rFonts w:ascii="Aptos" w:eastAsia="Aptos" w:hAnsi="Aptos" w:cs="Aptos"/>
          <w:lang w:val="fr"/>
        </w:rPr>
        <w:t xml:space="preserve">Alors que l’évaluation pratique échantillonne systématiquement les sites et les élèves au niveau de l’UMO, assurant une représentation au niveau de l’UMO pour les HTS, l’évaluation de précision sélectionne les sites au sein des sous-UMO en utilisant un échantillonnage raisonné basé sur le risque de schistosomiase. Par conséquent, les évaluations de précision ne garantissent pas une représentation géographique et les sites à haut risque de schistosomiase peuvent ne pas refléter l’épidémiologie plus large des HTS dans l’ensemble de l’UMO. Par conséquent, les évaluations de précision de la schistosomiase peuvent ne pas être suffisantes pour guider les décisions de traitement au niveau de l’UMO ou pour suivre les progrès réalisés au niveau de l’UMO en vue de l’élimination des HTS en tant que problème de santé publique. Des efforts sont en cours pour déterminer si la conception de l’évaluation de précision peut être modifiée pour tenir compte de cette limitation des HTS. </w:t>
      </w:r>
    </w:p>
    <w:p w14:paraId="3D5B74DF" w14:textId="13B28087" w:rsidR="6EDEF3A1" w:rsidRDefault="12403FBE" w:rsidP="58B7F4CC">
      <w:pPr>
        <w:spacing w:after="160" w:line="276" w:lineRule="auto"/>
      </w:pPr>
      <w:r w:rsidRPr="58B7F4CC">
        <w:rPr>
          <w:rFonts w:ascii="Aptos" w:eastAsia="Aptos" w:hAnsi="Aptos" w:cs="Aptos"/>
          <w:lang w:val="fr"/>
        </w:rPr>
        <w:t xml:space="preserve">Néanmoins, avec 20 enfants d’âge scolaire et 4 sites échantillonnés dans chaque sous-UMO au sein d’une UMO, les estimations au niveau des sites collectées par le biais d’enquêtes de précision peuvent encore fournir des informations précieuses sur les HTS pour le programme en fournissant des preuves sur la charge des HTS dans des zones précises et en apportant des informations pour éclairer les futurs efforts de modélisation géospatiale. La collecte de ces données peut s’avérer utile, surtout si les échantillons de selles sont déjà collectés et examinés par la technique de Kato-Katz dans le cadre de l’enquête sur la schistosomiase. En ce qui concerne les évaluations de précision, la collecte de données sur les HTS ne doit être envisagée que si les résultats sont réellement utilisés, aujourd’hui ou à l’avenir, pour éclairer des décisions exploitables. </w:t>
      </w:r>
    </w:p>
    <w:p w14:paraId="7E7AF13A" w14:textId="311721BA" w:rsidR="6EDEF3A1" w:rsidRDefault="12403FBE" w:rsidP="58B7F4CC">
      <w:pPr>
        <w:spacing w:before="240" w:after="160" w:line="276" w:lineRule="auto"/>
      </w:pPr>
      <w:r w:rsidRPr="58B7F4CC">
        <w:rPr>
          <w:rFonts w:ascii="Aptos" w:eastAsia="Aptos" w:hAnsi="Aptos" w:cs="Aptos"/>
          <w:b/>
          <w:bCs/>
          <w:i/>
          <w:iCs/>
          <w:sz w:val="24"/>
          <w:szCs w:val="24"/>
          <w:lang w:val="fr"/>
        </w:rPr>
        <w:t xml:space="preserve">Diagnostiquer les HTS </w:t>
      </w:r>
    </w:p>
    <w:p w14:paraId="1574C78D" w14:textId="20BE42A4" w:rsidR="6EDEF3A1" w:rsidRDefault="12403FBE" w:rsidP="58B7F4CC">
      <w:pPr>
        <w:spacing w:after="160" w:line="276" w:lineRule="auto"/>
      </w:pPr>
      <w:r w:rsidRPr="58B7F4CC">
        <w:rPr>
          <w:rFonts w:ascii="Aptos" w:eastAsia="Aptos" w:hAnsi="Aptos" w:cs="Aptos"/>
          <w:lang w:val="fr-FR"/>
        </w:rPr>
        <w:t xml:space="preserve">Les infections HTS sont diagnostiquées, de la même manière que le </w:t>
      </w:r>
      <w:r w:rsidRPr="58B7F4CC">
        <w:rPr>
          <w:rFonts w:ascii="Aptos" w:eastAsia="Aptos" w:hAnsi="Aptos" w:cs="Aptos"/>
          <w:i/>
          <w:iCs/>
          <w:lang w:val="fr-FR"/>
        </w:rPr>
        <w:t xml:space="preserve">S. </w:t>
      </w:r>
      <w:proofErr w:type="spellStart"/>
      <w:r w:rsidRPr="58B7F4CC">
        <w:rPr>
          <w:rFonts w:ascii="Aptos" w:eastAsia="Aptos" w:hAnsi="Aptos" w:cs="Aptos"/>
          <w:i/>
          <w:iCs/>
          <w:lang w:val="fr-FR"/>
        </w:rPr>
        <w:t>mansoni</w:t>
      </w:r>
      <w:proofErr w:type="spellEnd"/>
      <w:r w:rsidRPr="58B7F4CC">
        <w:rPr>
          <w:rFonts w:ascii="Aptos" w:eastAsia="Aptos" w:hAnsi="Aptos" w:cs="Aptos"/>
          <w:lang w:val="fr-FR"/>
        </w:rPr>
        <w:t>, par un examen microscopique des échantillons de selles à l’aide de la technique de Kato-Katz. Les diagnostics doivent être conformes aux lignes directrices énoncées dans le document « Planches pour le diagnostic des parasites intestinaux », deuxième édition (OMS), comme indiqué à l’annexe 5 de ce manuel : Mode opératoire standardisé de la technique de Kato-Katz.</w:t>
      </w:r>
      <w:r w:rsidRPr="58B7F4CC">
        <w:rPr>
          <w:rFonts w:ascii="Aptos" w:eastAsia="Aptos" w:hAnsi="Aptos" w:cs="Aptos"/>
          <w:vertAlign w:val="superscript"/>
          <w:lang w:val="fr-FR"/>
        </w:rPr>
        <w:t>9</w:t>
      </w:r>
      <w:r w:rsidRPr="58B7F4CC">
        <w:rPr>
          <w:rFonts w:ascii="Aptos" w:eastAsia="Aptos" w:hAnsi="Aptos" w:cs="Aptos"/>
          <w:lang w:val="fr-FR"/>
        </w:rPr>
        <w:t xml:space="preserve"> Bien que d’autres méthodes de diagnostic, telles que la PCR, soient disponibles, il est important de noter que les catégories de fréquence de traitement de l’OMS et les seuils d’EPHP sont basés sur le diagnostic de Kato-Katz. </w:t>
      </w:r>
    </w:p>
    <w:p w14:paraId="23F4A3EF" w14:textId="594A759C" w:rsidR="6EDEF3A1" w:rsidRDefault="12403FBE" w:rsidP="58B7F4CC">
      <w:pPr>
        <w:spacing w:after="160" w:line="276" w:lineRule="auto"/>
      </w:pPr>
      <w:r w:rsidRPr="58B7F4CC">
        <w:rPr>
          <w:rFonts w:ascii="Aptos" w:eastAsia="Aptos" w:hAnsi="Aptos" w:cs="Aptos"/>
          <w:lang w:val="fr-FR"/>
        </w:rPr>
        <w:t xml:space="preserve">Par le passé, certains programmes n’ont rapporté que la présence ou l’absence d’œufs de HTS dans un échantillon de selles. Toutefois, compte tenu de l’importance croissante du suivi des indicateurs de morbidité indirecte et des progrès accomplis dans la réalisation du programme d’EPHP, il est essentiel de quantifier et d’enregistrer le nombre d’œufs de HTS observés dans chaque échantillon afin de déterminer l’intensité de l’infection d’un individu. Les formulaires d’enquête de la SPPA, qui sont disponibles auprès d’ESPEN </w:t>
      </w:r>
      <w:proofErr w:type="spellStart"/>
      <w:r w:rsidRPr="58B7F4CC">
        <w:rPr>
          <w:rFonts w:ascii="Aptos" w:eastAsia="Aptos" w:hAnsi="Aptos" w:cs="Aptos"/>
          <w:lang w:val="fr-FR"/>
        </w:rPr>
        <w:t>Collect</w:t>
      </w:r>
      <w:proofErr w:type="spellEnd"/>
      <w:r w:rsidRPr="58B7F4CC">
        <w:rPr>
          <w:rFonts w:ascii="Aptos" w:eastAsia="Aptos" w:hAnsi="Aptos" w:cs="Aptos"/>
          <w:lang w:val="fr-FR"/>
        </w:rPr>
        <w:t xml:space="preserve">, comprennent l’enregistrement de la présence et du nombre d’œufs par lame de </w:t>
      </w:r>
      <w:r w:rsidRPr="58B7F4CC">
        <w:rPr>
          <w:rFonts w:ascii="Aptos" w:eastAsia="Aptos" w:hAnsi="Aptos" w:cs="Aptos"/>
          <w:lang w:val="fr-FR"/>
        </w:rPr>
        <w:lastRenderedPageBreak/>
        <w:t xml:space="preserve">microscope (2 lames par échantillon). </w:t>
      </w:r>
    </w:p>
    <w:p w14:paraId="33CE7CCF" w14:textId="0D11E4D8" w:rsidR="6EDEF3A1" w:rsidRDefault="12403FBE" w:rsidP="58B7F4CC">
      <w:pPr>
        <w:spacing w:before="240" w:after="160" w:line="276" w:lineRule="auto"/>
      </w:pPr>
      <w:r w:rsidRPr="58B7F4CC">
        <w:rPr>
          <w:rFonts w:ascii="Aptos" w:eastAsia="Aptos" w:hAnsi="Aptos" w:cs="Aptos"/>
          <w:b/>
          <w:bCs/>
          <w:i/>
          <w:iCs/>
          <w:sz w:val="24"/>
          <w:szCs w:val="24"/>
          <w:lang w:val="fr"/>
        </w:rPr>
        <w:t>Analyser et interpréter les résultats des HTS à partir de la méthodologie de la SPPA</w:t>
      </w:r>
    </w:p>
    <w:p w14:paraId="286703CA" w14:textId="742DE8B5" w:rsidR="6EDEF3A1" w:rsidRDefault="12403FBE" w:rsidP="58B7F4CC">
      <w:pPr>
        <w:spacing w:after="160" w:line="276" w:lineRule="auto"/>
      </w:pPr>
      <w:r w:rsidRPr="58B7F4CC">
        <w:rPr>
          <w:rFonts w:ascii="Aptos" w:eastAsia="Aptos" w:hAnsi="Aptos" w:cs="Aptos"/>
          <w:b/>
          <w:bCs/>
          <w:lang w:val="fr"/>
        </w:rPr>
        <w:t xml:space="preserve">À partir d’évaluations pratiques : </w:t>
      </w:r>
      <w:r w:rsidRPr="58B7F4CC">
        <w:rPr>
          <w:rFonts w:ascii="Aptos" w:eastAsia="Aptos" w:hAnsi="Aptos" w:cs="Aptos"/>
          <w:sz w:val="24"/>
          <w:szCs w:val="24"/>
          <w:lang w:val="fr"/>
        </w:rPr>
        <w:t xml:space="preserve"> </w:t>
      </w:r>
      <w:r w:rsidRPr="58B7F4CC">
        <w:rPr>
          <w:rFonts w:ascii="Aptos" w:eastAsia="Aptos" w:hAnsi="Aptos" w:cs="Aptos"/>
          <w:lang w:val="fr"/>
        </w:rPr>
        <w:t>La principale différence entre l’évaluation pratique de la SPPA sur 15 sites/20 élèves et une enquête sur 5 sites/50 élèves, par exemple, réside dans le nombre de sites et d’élèves évalués. Les deux approches utilisent l’échantillonnage en grappes et fournissent des preuves pour guider les décisions de traitement des HTS et évaluer si le seuil de l’EPHP des HTS a été atteint au niveau de l’UMO.</w:t>
      </w:r>
    </w:p>
    <w:p w14:paraId="49C63E00" w14:textId="194FBD5F" w:rsidR="6EDEF3A1" w:rsidRDefault="12403FBE" w:rsidP="58B7F4CC">
      <w:pPr>
        <w:spacing w:after="160" w:line="276" w:lineRule="auto"/>
      </w:pPr>
      <w:r w:rsidRPr="58B7F4CC">
        <w:rPr>
          <w:rFonts w:ascii="Aptos" w:eastAsia="Aptos" w:hAnsi="Aptos" w:cs="Aptos"/>
          <w:lang w:val="fr"/>
        </w:rPr>
        <w:t xml:space="preserve">Cependant, alors que l’analyse de l’évaluation pratique de la schistosomiase se concentre sur le nombre de sites où la prévalence est supérieure ou inférieure à 10 %, l’analyse des HTS à partir de cette enquête se concentre sur l’estimation de la prévalence au niveau de l’UMO. La méthodologie de l’évaluation pratique étant similaire à celle de l’enquête 5 sites/50 élèves, l’analyse et l’interprétation de l’évaluation pratique, lorsqu’elle est utilisée comme enquête d’impact sur les HTS au niveau de l’UMO, peut suivre les mêmes procédures et méthodes d’évaluation que d’autres enquêtes par grappes sur les HTS. </w:t>
      </w:r>
      <w:r w:rsidRPr="58B7F4CC">
        <w:rPr>
          <w:rFonts w:ascii="Aptos" w:eastAsia="Aptos" w:hAnsi="Aptos" w:cs="Aptos"/>
          <w:vertAlign w:val="superscript"/>
          <w:lang w:val="fr"/>
        </w:rPr>
        <w:t>2,4</w:t>
      </w:r>
      <w:r w:rsidRPr="58B7F4CC">
        <w:rPr>
          <w:rFonts w:ascii="Aptos" w:eastAsia="Aptos" w:hAnsi="Aptos" w:cs="Aptos"/>
          <w:lang w:val="fr"/>
        </w:rPr>
        <w:t xml:space="preserve"> </w:t>
      </w:r>
    </w:p>
    <w:p w14:paraId="6BCF8A9E" w14:textId="73BE3A53" w:rsidR="6EDEF3A1" w:rsidRDefault="12403FBE" w:rsidP="58B7F4CC">
      <w:pPr>
        <w:spacing w:after="160" w:line="276" w:lineRule="auto"/>
      </w:pPr>
      <w:r w:rsidRPr="58B7F4CC">
        <w:rPr>
          <w:rFonts w:ascii="Aptos" w:eastAsia="Aptos" w:hAnsi="Aptos" w:cs="Aptos"/>
          <w:lang w:val="fr"/>
        </w:rPr>
        <w:t>Vous trouverez ci-dessous quelques suggestions pour calculer les indicateurs clés, organiser les résultats et les utiliser pour orienter la programmation et évaluer les progrès.</w:t>
      </w:r>
    </w:p>
    <w:p w14:paraId="71036DF8" w14:textId="4D0B6CA9" w:rsidR="6EDEF3A1" w:rsidRDefault="12403FBE" w:rsidP="58B7F4CC">
      <w:pPr>
        <w:spacing w:after="160" w:line="276" w:lineRule="auto"/>
      </w:pPr>
      <w:proofErr w:type="gramStart"/>
      <w:r w:rsidRPr="58B7F4CC">
        <w:rPr>
          <w:rFonts w:ascii="Aptos" w:eastAsia="Aptos" w:hAnsi="Aptos" w:cs="Aptos"/>
          <w:b/>
          <w:bCs/>
          <w:lang w:val="fr-FR"/>
        </w:rPr>
        <w:t>1:</w:t>
      </w:r>
      <w:proofErr w:type="gramEnd"/>
      <w:r w:rsidRPr="58B7F4CC">
        <w:rPr>
          <w:rFonts w:ascii="Aptos" w:eastAsia="Aptos" w:hAnsi="Aptos" w:cs="Aptos"/>
          <w:b/>
          <w:bCs/>
          <w:lang w:val="fr-FR"/>
        </w:rPr>
        <w:t xml:space="preserve"> Calculez la prévalence au niveau du site </w:t>
      </w:r>
      <w:r w:rsidRPr="58B7F4CC">
        <w:rPr>
          <w:rFonts w:ascii="Aptos" w:eastAsia="Aptos" w:hAnsi="Aptos" w:cs="Aptos"/>
          <w:b/>
          <w:bCs/>
          <w:u w:val="single"/>
          <w:lang w:val="fr-FR"/>
        </w:rPr>
        <w:t xml:space="preserve"> d’une infection de toute intensité</w:t>
      </w:r>
      <w:r w:rsidRPr="58B7F4CC">
        <w:rPr>
          <w:rFonts w:ascii="Aptos" w:eastAsia="Aptos" w:hAnsi="Aptos" w:cs="Aptos"/>
          <w:b/>
          <w:bCs/>
          <w:lang w:val="fr-FR"/>
        </w:rPr>
        <w:t xml:space="preserve"> (AII, </w:t>
      </w:r>
      <w:proofErr w:type="spellStart"/>
      <w:r w:rsidRPr="58B7F4CC">
        <w:rPr>
          <w:rFonts w:ascii="Aptos" w:eastAsia="Aptos" w:hAnsi="Aptos" w:cs="Aptos"/>
          <w:b/>
          <w:bCs/>
          <w:lang w:val="fr-FR"/>
        </w:rPr>
        <w:t>any</w:t>
      </w:r>
      <w:proofErr w:type="spellEnd"/>
      <w:r w:rsidRPr="58B7F4CC">
        <w:rPr>
          <w:rFonts w:ascii="Aptos" w:eastAsia="Aptos" w:hAnsi="Aptos" w:cs="Aptos"/>
          <w:b/>
          <w:bCs/>
          <w:lang w:val="fr-FR"/>
        </w:rPr>
        <w:t xml:space="preserve"> </w:t>
      </w:r>
      <w:proofErr w:type="spellStart"/>
      <w:r w:rsidRPr="58B7F4CC">
        <w:rPr>
          <w:rFonts w:ascii="Aptos" w:eastAsia="Aptos" w:hAnsi="Aptos" w:cs="Aptos"/>
          <w:b/>
          <w:bCs/>
          <w:lang w:val="fr-FR"/>
        </w:rPr>
        <w:t>intensity</w:t>
      </w:r>
      <w:proofErr w:type="spellEnd"/>
      <w:r w:rsidRPr="58B7F4CC">
        <w:rPr>
          <w:rFonts w:ascii="Aptos" w:eastAsia="Aptos" w:hAnsi="Aptos" w:cs="Aptos"/>
          <w:b/>
          <w:bCs/>
          <w:lang w:val="fr-FR"/>
        </w:rPr>
        <w:t xml:space="preserve"> infection) par (i) l’ankylostome, (ii)</w:t>
      </w:r>
      <w:r w:rsidRPr="58B7F4CC">
        <w:rPr>
          <w:rFonts w:ascii="Aptos" w:eastAsia="Aptos" w:hAnsi="Aptos" w:cs="Aptos"/>
          <w:b/>
          <w:bCs/>
          <w:i/>
          <w:iCs/>
          <w:lang w:val="fr-FR"/>
        </w:rPr>
        <w:t xml:space="preserve"> A. </w:t>
      </w:r>
      <w:proofErr w:type="spellStart"/>
      <w:r w:rsidRPr="58B7F4CC">
        <w:rPr>
          <w:rFonts w:ascii="Aptos" w:eastAsia="Aptos" w:hAnsi="Aptos" w:cs="Aptos"/>
          <w:b/>
          <w:bCs/>
          <w:i/>
          <w:iCs/>
          <w:lang w:val="fr-FR"/>
        </w:rPr>
        <w:t>lumbricoides</w:t>
      </w:r>
      <w:proofErr w:type="spellEnd"/>
      <w:r w:rsidRPr="58B7F4CC">
        <w:rPr>
          <w:rFonts w:ascii="Aptos" w:eastAsia="Aptos" w:hAnsi="Aptos" w:cs="Aptos"/>
          <w:b/>
          <w:bCs/>
          <w:lang w:val="fr-FR"/>
        </w:rPr>
        <w:t>, (iii)</w:t>
      </w:r>
      <w:r w:rsidRPr="58B7F4CC">
        <w:rPr>
          <w:rFonts w:ascii="Aptos" w:eastAsia="Aptos" w:hAnsi="Aptos" w:cs="Aptos"/>
          <w:b/>
          <w:bCs/>
          <w:i/>
          <w:iCs/>
          <w:lang w:val="fr-FR"/>
        </w:rPr>
        <w:t xml:space="preserve"> T. </w:t>
      </w:r>
      <w:proofErr w:type="spellStart"/>
      <w:r w:rsidRPr="58B7F4CC">
        <w:rPr>
          <w:rFonts w:ascii="Aptos" w:eastAsia="Aptos" w:hAnsi="Aptos" w:cs="Aptos"/>
          <w:b/>
          <w:bCs/>
          <w:i/>
          <w:iCs/>
          <w:lang w:val="fr-FR"/>
        </w:rPr>
        <w:t>trichiura</w:t>
      </w:r>
      <w:proofErr w:type="spellEnd"/>
      <w:r w:rsidRPr="58B7F4CC">
        <w:rPr>
          <w:rFonts w:ascii="Aptos" w:eastAsia="Aptos" w:hAnsi="Aptos" w:cs="Aptos"/>
          <w:b/>
          <w:bCs/>
          <w:lang w:val="fr-FR"/>
        </w:rPr>
        <w:t xml:space="preserve">, et (iv) toute espèce de HTS. </w:t>
      </w:r>
    </w:p>
    <w:p w14:paraId="43187D20" w14:textId="6DD0CCFA" w:rsidR="6EDEF3A1" w:rsidRDefault="12403FBE" w:rsidP="58B7F4CC">
      <w:pPr>
        <w:spacing w:after="160" w:line="276" w:lineRule="auto"/>
      </w:pPr>
      <w:r w:rsidRPr="58B7F4CC">
        <w:rPr>
          <w:rFonts w:ascii="Aptos" w:eastAsia="Aptos" w:hAnsi="Aptos" w:cs="Aptos"/>
          <w:lang w:val="fr"/>
        </w:rPr>
        <w:t xml:space="preserve">Prévalence de l’AII pour l’infection de </w:t>
      </w:r>
      <w:r w:rsidRPr="58B7F4CC">
        <w:rPr>
          <w:rFonts w:ascii="Aptos" w:eastAsia="Aptos" w:hAnsi="Aptos" w:cs="Aptos"/>
          <w:i/>
          <w:iCs/>
          <w:lang w:val="fr"/>
        </w:rPr>
        <w:t>[ESPÈCE]</w:t>
      </w:r>
      <w:r w:rsidRPr="58B7F4CC">
        <w:rPr>
          <w:rFonts w:ascii="Aptos" w:eastAsia="Aptos" w:hAnsi="Aptos" w:cs="Aptos"/>
          <w:lang w:val="fr"/>
        </w:rPr>
        <w:t xml:space="preserve"> :</w:t>
      </w:r>
    </w:p>
    <w:p w14:paraId="2B9650A3" w14:textId="2299BB76" w:rsidR="6EDEF3A1" w:rsidRDefault="12403FBE" w:rsidP="58B7F4CC">
      <w:pPr>
        <w:jc w:val="center"/>
      </w:pPr>
      <w:r w:rsidRPr="58B7F4CC">
        <w:rPr>
          <w:rFonts w:ascii="Aptos" w:eastAsia="Aptos" w:hAnsi="Aptos" w:cs="Aptos"/>
          <w:lang w:val="fr"/>
        </w:rPr>
        <w:t xml:space="preserve">Nombre d’élèves dont le test est positif pour </w:t>
      </w:r>
      <w:r w:rsidRPr="58B7F4CC">
        <w:rPr>
          <w:rFonts w:ascii="Aptos" w:eastAsia="Aptos" w:hAnsi="Aptos" w:cs="Aptos"/>
          <w:i/>
          <w:iCs/>
          <w:lang w:val="fr"/>
        </w:rPr>
        <w:t>[ESPÈCE]</w:t>
      </w:r>
      <w:r w:rsidRPr="58B7F4CC">
        <w:rPr>
          <w:rFonts w:ascii="Aptos" w:eastAsia="Aptos" w:hAnsi="Aptos" w:cs="Aptos"/>
          <w:lang w:val="fr"/>
        </w:rPr>
        <w:t xml:space="preserve"> sur le site </w:t>
      </w:r>
    </w:p>
    <w:p w14:paraId="4B27A361" w14:textId="4143D310" w:rsidR="6EDEF3A1" w:rsidRDefault="12403FBE" w:rsidP="58B7F4CC">
      <w:pPr>
        <w:jc w:val="center"/>
      </w:pPr>
      <w:r w:rsidRPr="58B7F4CC">
        <w:rPr>
          <w:rFonts w:ascii="Aptos" w:eastAsia="Aptos" w:hAnsi="Aptos" w:cs="Aptos"/>
          <w:lang w:val="fr"/>
        </w:rPr>
        <w:t>----------------------------------------------------</w:t>
      </w:r>
    </w:p>
    <w:p w14:paraId="477603B3" w14:textId="3A4D1607" w:rsidR="6EDEF3A1" w:rsidRDefault="12403FBE" w:rsidP="58B7F4CC">
      <w:pPr>
        <w:spacing w:after="160" w:line="276" w:lineRule="auto"/>
        <w:jc w:val="center"/>
      </w:pPr>
      <w:r w:rsidRPr="58B7F4CC">
        <w:rPr>
          <w:rFonts w:ascii="Aptos" w:eastAsia="Aptos" w:hAnsi="Aptos" w:cs="Aptos"/>
          <w:lang w:val="fr"/>
        </w:rPr>
        <w:t>Nombre d’élèves testés sur le site</w:t>
      </w:r>
    </w:p>
    <w:p w14:paraId="756A74A3" w14:textId="3BD2F517" w:rsidR="6EDEF3A1" w:rsidRDefault="12403FBE" w:rsidP="58B7F4CC">
      <w:pPr>
        <w:spacing w:after="160" w:line="276" w:lineRule="auto"/>
      </w:pPr>
      <w:r w:rsidRPr="58B7F4CC">
        <w:rPr>
          <w:rFonts w:ascii="Aptos" w:eastAsia="Aptos" w:hAnsi="Aptos" w:cs="Aptos"/>
          <w:lang w:val="fr-FR"/>
        </w:rPr>
        <w:t xml:space="preserve">Où </w:t>
      </w:r>
      <w:r w:rsidRPr="58B7F4CC">
        <w:rPr>
          <w:rFonts w:ascii="Aptos" w:eastAsia="Aptos" w:hAnsi="Aptos" w:cs="Aptos"/>
          <w:i/>
          <w:iCs/>
          <w:lang w:val="fr-FR"/>
        </w:rPr>
        <w:t>[ESPÈCE]</w:t>
      </w:r>
      <w:r w:rsidRPr="58B7F4CC">
        <w:rPr>
          <w:rFonts w:ascii="Aptos" w:eastAsia="Aptos" w:hAnsi="Aptos" w:cs="Aptos"/>
          <w:lang w:val="fr-FR"/>
        </w:rPr>
        <w:t xml:space="preserve"> fait référence à l’ankylostome, </w:t>
      </w:r>
      <w:r w:rsidRPr="58B7F4CC">
        <w:rPr>
          <w:rFonts w:ascii="Aptos" w:eastAsia="Aptos" w:hAnsi="Aptos" w:cs="Aptos"/>
          <w:i/>
          <w:iCs/>
          <w:lang w:val="fr-FR"/>
        </w:rPr>
        <w:t xml:space="preserve">A. </w:t>
      </w:r>
      <w:proofErr w:type="spellStart"/>
      <w:r w:rsidRPr="58B7F4CC">
        <w:rPr>
          <w:rFonts w:ascii="Aptos" w:eastAsia="Aptos" w:hAnsi="Aptos" w:cs="Aptos"/>
          <w:i/>
          <w:iCs/>
          <w:lang w:val="fr-FR"/>
        </w:rPr>
        <w:t>lumbricoides</w:t>
      </w:r>
      <w:proofErr w:type="spellEnd"/>
      <w:r w:rsidRPr="58B7F4CC">
        <w:rPr>
          <w:rFonts w:ascii="Aptos" w:eastAsia="Aptos" w:hAnsi="Aptos" w:cs="Aptos"/>
          <w:lang w:val="fr-FR"/>
        </w:rPr>
        <w:t xml:space="preserve">, </w:t>
      </w:r>
      <w:r w:rsidRPr="58B7F4CC">
        <w:rPr>
          <w:rFonts w:ascii="Aptos" w:eastAsia="Aptos" w:hAnsi="Aptos" w:cs="Aptos"/>
          <w:i/>
          <w:iCs/>
          <w:lang w:val="fr-FR"/>
        </w:rPr>
        <w:t xml:space="preserve">T. </w:t>
      </w:r>
      <w:proofErr w:type="spellStart"/>
      <w:r w:rsidRPr="58B7F4CC">
        <w:rPr>
          <w:rFonts w:ascii="Aptos" w:eastAsia="Aptos" w:hAnsi="Aptos" w:cs="Aptos"/>
          <w:i/>
          <w:iCs/>
          <w:lang w:val="fr-FR"/>
        </w:rPr>
        <w:t>trichiura</w:t>
      </w:r>
      <w:proofErr w:type="spellEnd"/>
      <w:r w:rsidRPr="58B7F4CC">
        <w:rPr>
          <w:rFonts w:ascii="Aptos" w:eastAsia="Aptos" w:hAnsi="Aptos" w:cs="Aptos"/>
          <w:lang w:val="fr-FR"/>
        </w:rPr>
        <w:t xml:space="preserve">, et à toute espèce de HTS. Pour le calcul de l’infection « par toute espèce de HTS », il convient de noter que certains élèves peuvent avoir plusieurs infections ; veillez à ce qu’un élève présentant, par exemple, les deux infections </w:t>
      </w:r>
      <w:proofErr w:type="spellStart"/>
      <w:r w:rsidRPr="58B7F4CC">
        <w:rPr>
          <w:rFonts w:ascii="Aptos" w:eastAsia="Aptos" w:hAnsi="Aptos" w:cs="Aptos"/>
          <w:lang w:val="fr-FR"/>
        </w:rPr>
        <w:t>par</w:t>
      </w:r>
      <w:r w:rsidRPr="58B7F4CC">
        <w:rPr>
          <w:rFonts w:ascii="Aptos" w:eastAsia="Aptos" w:hAnsi="Aptos" w:cs="Aptos"/>
          <w:i/>
          <w:iCs/>
          <w:lang w:val="fr-FR"/>
        </w:rPr>
        <w:t>A</w:t>
      </w:r>
      <w:proofErr w:type="spellEnd"/>
      <w:r w:rsidRPr="58B7F4CC">
        <w:rPr>
          <w:rFonts w:ascii="Aptos" w:eastAsia="Aptos" w:hAnsi="Aptos" w:cs="Aptos"/>
          <w:i/>
          <w:iCs/>
          <w:lang w:val="fr-FR"/>
        </w:rPr>
        <w:t xml:space="preserve">. </w:t>
      </w:r>
      <w:proofErr w:type="spellStart"/>
      <w:proofErr w:type="gramStart"/>
      <w:r w:rsidRPr="58B7F4CC">
        <w:rPr>
          <w:rFonts w:ascii="Aptos" w:eastAsia="Aptos" w:hAnsi="Aptos" w:cs="Aptos"/>
          <w:i/>
          <w:iCs/>
          <w:lang w:val="fr-FR"/>
        </w:rPr>
        <w:t>lumbricoides</w:t>
      </w:r>
      <w:proofErr w:type="spellEnd"/>
      <w:proofErr w:type="gramEnd"/>
      <w:r w:rsidRPr="58B7F4CC">
        <w:rPr>
          <w:rFonts w:ascii="Aptos" w:eastAsia="Aptos" w:hAnsi="Aptos" w:cs="Aptos"/>
          <w:lang w:val="fr-FR"/>
        </w:rPr>
        <w:t xml:space="preserve"> et</w:t>
      </w:r>
      <w:r w:rsidRPr="58B7F4CC">
        <w:rPr>
          <w:rFonts w:ascii="Aptos" w:eastAsia="Aptos" w:hAnsi="Aptos" w:cs="Aptos"/>
          <w:i/>
          <w:iCs/>
          <w:lang w:val="fr-FR"/>
        </w:rPr>
        <w:t xml:space="preserve"> T. </w:t>
      </w:r>
      <w:proofErr w:type="spellStart"/>
      <w:r w:rsidRPr="58B7F4CC">
        <w:rPr>
          <w:rFonts w:ascii="Aptos" w:eastAsia="Aptos" w:hAnsi="Aptos" w:cs="Aptos"/>
          <w:i/>
          <w:iCs/>
          <w:lang w:val="fr-FR"/>
        </w:rPr>
        <w:t>trichiura</w:t>
      </w:r>
      <w:proofErr w:type="spellEnd"/>
      <w:r w:rsidRPr="58B7F4CC">
        <w:rPr>
          <w:rFonts w:ascii="Aptos" w:eastAsia="Aptos" w:hAnsi="Aptos" w:cs="Aptos"/>
          <w:lang w:val="fr-FR"/>
        </w:rPr>
        <w:t xml:space="preserve"> ne soit compté qu’une seule fois dans le numérateur lors du calcul de l’estimation de la prévalence de l’infection « par toute espèce de HTS ». Il convient de noter qu’après cette étape, il y aura quatre estimations de la prévalence de l’AII pour chaque site (15 sites × 4 estimations de l’AII = 60 estimations de l’AII au niveau du site dans une UMO).</w:t>
      </w:r>
    </w:p>
    <w:p w14:paraId="52FED27E" w14:textId="03011EFC" w:rsidR="6EDEF3A1" w:rsidRDefault="12403FBE" w:rsidP="58B7F4CC">
      <w:pPr>
        <w:spacing w:after="160" w:line="276" w:lineRule="auto"/>
      </w:pPr>
      <w:proofErr w:type="gramStart"/>
      <w:r w:rsidRPr="58B7F4CC">
        <w:rPr>
          <w:rFonts w:ascii="Aptos" w:eastAsia="Aptos" w:hAnsi="Aptos" w:cs="Aptos"/>
          <w:b/>
          <w:bCs/>
          <w:lang w:val="fr-FR"/>
        </w:rPr>
        <w:t>2:</w:t>
      </w:r>
      <w:proofErr w:type="gramEnd"/>
      <w:r w:rsidRPr="58B7F4CC">
        <w:rPr>
          <w:rFonts w:ascii="Aptos" w:eastAsia="Aptos" w:hAnsi="Aptos" w:cs="Aptos"/>
          <w:b/>
          <w:bCs/>
          <w:lang w:val="fr-FR"/>
        </w:rPr>
        <w:t xml:space="preserve"> Calculez la prévalence moyenne dans le site des infections par toute espèce de HTS, de </w:t>
      </w:r>
      <w:r w:rsidRPr="58B7F4CC">
        <w:rPr>
          <w:rFonts w:ascii="Aptos" w:eastAsia="Aptos" w:hAnsi="Aptos" w:cs="Aptos"/>
          <w:b/>
          <w:bCs/>
          <w:u w:val="single"/>
          <w:lang w:val="fr-FR"/>
        </w:rPr>
        <w:t>toute intensité</w:t>
      </w:r>
      <w:r w:rsidRPr="58B7F4CC">
        <w:rPr>
          <w:rFonts w:ascii="Aptos" w:eastAsia="Aptos" w:hAnsi="Aptos" w:cs="Aptos"/>
          <w:b/>
          <w:bCs/>
          <w:lang w:val="fr-FR"/>
        </w:rPr>
        <w:t>.</w:t>
      </w:r>
    </w:p>
    <w:p w14:paraId="07B7A696" w14:textId="5BEC3419" w:rsidR="6EDEF3A1" w:rsidRDefault="12403FBE" w:rsidP="58B7F4CC">
      <w:r w:rsidRPr="58B7F4CC">
        <w:rPr>
          <w:rFonts w:ascii="Aptos" w:eastAsia="Aptos" w:hAnsi="Aptos" w:cs="Aptos"/>
          <w:lang w:val="fr-FR"/>
        </w:rPr>
        <w:t xml:space="preserve">AII moyenne du site </w:t>
      </w:r>
      <w:r w:rsidR="00F32013">
        <w:rPr>
          <w:rFonts w:ascii="Aptos" w:eastAsia="Aptos" w:hAnsi="Aptos" w:cs="Aptos"/>
          <w:lang w:val="fr-FR"/>
        </w:rPr>
        <w:t xml:space="preserve">         </w:t>
      </w:r>
      <w:r w:rsidRPr="58B7F4CC">
        <w:rPr>
          <w:rFonts w:ascii="Aptos" w:eastAsia="Aptos" w:hAnsi="Aptos" w:cs="Aptos"/>
          <w:lang w:val="fr-FR"/>
        </w:rPr>
        <w:t xml:space="preserve">= </w:t>
      </w:r>
      <w:proofErr w:type="gramStart"/>
      <w:r w:rsidRPr="58B7F4CC">
        <w:rPr>
          <w:rFonts w:ascii="Aptos" w:eastAsia="Aptos" w:hAnsi="Aptos" w:cs="Aptos"/>
          <w:u w:val="single"/>
          <w:lang w:val="fr-FR"/>
        </w:rPr>
        <w:t>Prévalence</w:t>
      </w:r>
      <w:r w:rsidRPr="58B7F4CC">
        <w:rPr>
          <w:rFonts w:ascii="Aptos" w:eastAsia="Aptos" w:hAnsi="Aptos" w:cs="Aptos"/>
          <w:u w:val="single"/>
          <w:vertAlign w:val="subscript"/>
          <w:lang w:val="fr-FR"/>
        </w:rPr>
        <w:t>AII,s</w:t>
      </w:r>
      <w:proofErr w:type="gramEnd"/>
      <w:r w:rsidRPr="58B7F4CC">
        <w:rPr>
          <w:rFonts w:ascii="Aptos" w:eastAsia="Aptos" w:hAnsi="Aptos" w:cs="Aptos"/>
          <w:u w:val="single"/>
          <w:vertAlign w:val="subscript"/>
          <w:lang w:val="fr-FR"/>
        </w:rPr>
        <w:t>1</w:t>
      </w:r>
      <w:r w:rsidRPr="58B7F4CC">
        <w:rPr>
          <w:rFonts w:ascii="Arial" w:eastAsia="Arial" w:hAnsi="Arial" w:cs="Arial"/>
          <w:u w:val="single"/>
          <w:lang w:val="fr-FR"/>
        </w:rPr>
        <w:t xml:space="preserve"> </w:t>
      </w:r>
      <w:r w:rsidRPr="58B7F4CC">
        <w:rPr>
          <w:rFonts w:ascii="Aptos" w:eastAsia="Aptos" w:hAnsi="Aptos" w:cs="Aptos"/>
          <w:u w:val="single"/>
          <w:lang w:val="fr-FR"/>
        </w:rPr>
        <w:t>+ Prévalence</w:t>
      </w:r>
      <w:r w:rsidRPr="58B7F4CC">
        <w:rPr>
          <w:rFonts w:ascii="Aptos" w:eastAsia="Aptos" w:hAnsi="Aptos" w:cs="Aptos"/>
          <w:u w:val="single"/>
          <w:vertAlign w:val="subscript"/>
          <w:lang w:val="fr-FR"/>
        </w:rPr>
        <w:t xml:space="preserve"> AII,s2</w:t>
      </w:r>
      <w:r w:rsidRPr="58B7F4CC">
        <w:rPr>
          <w:rFonts w:ascii="Arial" w:eastAsia="Arial" w:hAnsi="Arial" w:cs="Arial"/>
          <w:u w:val="single"/>
          <w:lang w:val="fr-FR"/>
        </w:rPr>
        <w:t xml:space="preserve"> </w:t>
      </w:r>
      <w:r w:rsidRPr="58B7F4CC">
        <w:rPr>
          <w:rFonts w:ascii="Aptos" w:eastAsia="Aptos" w:hAnsi="Aptos" w:cs="Aptos"/>
          <w:u w:val="single"/>
          <w:lang w:val="fr-FR"/>
        </w:rPr>
        <w:t>+ Prévalence</w:t>
      </w:r>
      <w:r w:rsidRPr="58B7F4CC">
        <w:rPr>
          <w:rFonts w:ascii="Aptos" w:eastAsia="Aptos" w:hAnsi="Aptos" w:cs="Aptos"/>
          <w:u w:val="single"/>
          <w:vertAlign w:val="subscript"/>
          <w:lang w:val="fr-FR"/>
        </w:rPr>
        <w:t xml:space="preserve"> AII,s3</w:t>
      </w:r>
      <w:r w:rsidRPr="58B7F4CC">
        <w:rPr>
          <w:rFonts w:ascii="Arial" w:eastAsia="Arial" w:hAnsi="Arial" w:cs="Arial"/>
          <w:u w:val="single"/>
          <w:lang w:val="fr-FR"/>
        </w:rPr>
        <w:t xml:space="preserve"> </w:t>
      </w:r>
      <w:r w:rsidRPr="58B7F4CC">
        <w:rPr>
          <w:rFonts w:ascii="Aptos" w:eastAsia="Aptos" w:hAnsi="Aptos" w:cs="Aptos"/>
          <w:u w:val="single"/>
          <w:lang w:val="fr-FR"/>
        </w:rPr>
        <w:t>+</w:t>
      </w:r>
      <w:r w:rsidRPr="58B7F4CC">
        <w:rPr>
          <w:rFonts w:ascii="Cambria Math" w:eastAsia="Cambria Math" w:hAnsi="Cambria Math" w:cs="Cambria Math"/>
          <w:u w:val="single"/>
          <w:lang w:val="fr-FR"/>
        </w:rPr>
        <w:t>⋯</w:t>
      </w:r>
      <w:r w:rsidRPr="58B7F4CC">
        <w:rPr>
          <w:rFonts w:ascii="Aptos" w:eastAsia="Aptos" w:hAnsi="Aptos" w:cs="Aptos"/>
          <w:u w:val="single"/>
          <w:lang w:val="fr-FR"/>
        </w:rPr>
        <w:t>+Prévalence</w:t>
      </w:r>
      <w:r w:rsidRPr="58B7F4CC">
        <w:rPr>
          <w:rFonts w:ascii="Aptos" w:eastAsia="Aptos" w:hAnsi="Aptos" w:cs="Aptos"/>
          <w:u w:val="single"/>
          <w:vertAlign w:val="subscript"/>
          <w:lang w:val="fr-FR"/>
        </w:rPr>
        <w:t xml:space="preserve"> AII,s15</w:t>
      </w:r>
      <w:r w:rsidRPr="58B7F4CC">
        <w:rPr>
          <w:rFonts w:ascii="Arial" w:eastAsia="Arial" w:hAnsi="Arial" w:cs="Arial"/>
          <w:u w:val="single"/>
          <w:vertAlign w:val="subscript"/>
          <w:lang w:val="fr-FR"/>
        </w:rPr>
        <w:t xml:space="preserve"> </w:t>
      </w:r>
    </w:p>
    <w:p w14:paraId="52DF2571" w14:textId="4A6EE421" w:rsidR="6EDEF3A1" w:rsidRDefault="12403FBE" w:rsidP="58B7F4CC">
      <w:pPr>
        <w:spacing w:after="160" w:line="276" w:lineRule="auto"/>
      </w:pPr>
      <w:proofErr w:type="gramStart"/>
      <w:r w:rsidRPr="58B7F4CC">
        <w:rPr>
          <w:rFonts w:ascii="Aptos" w:eastAsia="Aptos" w:hAnsi="Aptos" w:cs="Aptos"/>
          <w:lang w:val="fr-FR"/>
        </w:rPr>
        <w:t>prévalence</w:t>
      </w:r>
      <w:proofErr w:type="gramEnd"/>
      <w:r w:rsidRPr="58B7F4CC">
        <w:rPr>
          <w:rFonts w:ascii="Aptos" w:eastAsia="Aptos" w:hAnsi="Aptos" w:cs="Aptos"/>
          <w:lang w:val="fr-FR"/>
        </w:rPr>
        <w:t xml:space="preserve">                                                                                              15</w:t>
      </w:r>
    </w:p>
    <w:p w14:paraId="7C050C48" w14:textId="4E31BCDF" w:rsidR="6EDEF3A1" w:rsidRDefault="12403FBE" w:rsidP="58B7F4CC">
      <w:pPr>
        <w:spacing w:after="160" w:line="276" w:lineRule="auto"/>
        <w:ind w:left="2160" w:hanging="2160"/>
      </w:pPr>
      <w:r w:rsidRPr="58B7F4CC">
        <w:rPr>
          <w:rFonts w:ascii="Arial" w:eastAsia="Arial" w:hAnsi="Arial" w:cs="Arial"/>
          <w:lang w:val="fr-FR"/>
        </w:rPr>
        <w:t xml:space="preserve"> </w:t>
      </w:r>
      <w:proofErr w:type="gramStart"/>
      <w:r w:rsidRPr="58B7F4CC">
        <w:rPr>
          <w:rFonts w:ascii="Aptos" w:eastAsia="Aptos" w:hAnsi="Aptos" w:cs="Aptos"/>
          <w:lang w:val="fr-FR"/>
        </w:rPr>
        <w:t>où</w:t>
      </w:r>
      <w:proofErr w:type="gramEnd"/>
      <w:r w:rsidRPr="58B7F4CC">
        <w:rPr>
          <w:rFonts w:ascii="Aptos" w:eastAsia="Aptos" w:hAnsi="Aptos" w:cs="Aptos"/>
          <w:lang w:val="fr-FR"/>
        </w:rPr>
        <w:t xml:space="preserve"> :</w:t>
      </w:r>
    </w:p>
    <w:p w14:paraId="05DEC0C5" w14:textId="6FDB11BD" w:rsidR="6EDEF3A1" w:rsidRDefault="12403FBE" w:rsidP="58B7F4CC">
      <w:pPr>
        <w:pStyle w:val="ListParagraph"/>
        <w:numPr>
          <w:ilvl w:val="0"/>
          <w:numId w:val="1"/>
        </w:numPr>
        <w:spacing w:line="276" w:lineRule="auto"/>
        <w:rPr>
          <w:rFonts w:ascii="Aptos" w:eastAsia="Aptos" w:hAnsi="Aptos" w:cs="Aptos"/>
          <w:lang w:val="fr"/>
        </w:rPr>
      </w:pPr>
      <w:r w:rsidRPr="58B7F4CC">
        <w:rPr>
          <w:rFonts w:ascii="Aptos" w:eastAsia="Aptos" w:hAnsi="Aptos" w:cs="Aptos"/>
          <w:lang w:val="fr"/>
        </w:rPr>
        <w:t>Prévalence</w:t>
      </w:r>
      <w:r w:rsidRPr="58B7F4CC">
        <w:rPr>
          <w:rFonts w:ascii="Aptos" w:eastAsia="Aptos" w:hAnsi="Aptos" w:cs="Aptos"/>
          <w:vertAlign w:val="subscript"/>
          <w:lang w:val="fr"/>
        </w:rPr>
        <w:t>AII</w:t>
      </w:r>
      <w:r w:rsidRPr="58B7F4CC">
        <w:rPr>
          <w:rFonts w:ascii="Cambria Math" w:eastAsia="Cambria Math" w:hAnsi="Cambria Math" w:cs="Cambria Math"/>
          <w:vertAlign w:val="subscript"/>
          <w:lang w:val="fr"/>
        </w:rPr>
        <w:t>s</w:t>
      </w:r>
      <w:r w:rsidRPr="58B7F4CC">
        <w:rPr>
          <w:rFonts w:ascii="Aptos" w:eastAsia="Aptos" w:hAnsi="Aptos" w:cs="Aptos"/>
          <w:vertAlign w:val="subscript"/>
          <w:lang w:val="fr"/>
        </w:rPr>
        <w:t xml:space="preserve">1 </w:t>
      </w:r>
      <w:r w:rsidRPr="58B7F4CC">
        <w:rPr>
          <w:rFonts w:ascii="Aptos" w:eastAsia="Aptos" w:hAnsi="Aptos" w:cs="Aptos"/>
          <w:lang w:val="fr"/>
        </w:rPr>
        <w:t>est la prévalence de l’AII pour une infection par toute espèce de HTS dans le site 1,</w:t>
      </w:r>
    </w:p>
    <w:p w14:paraId="77A94B94" w14:textId="2F18A9FA" w:rsidR="6EDEF3A1" w:rsidRDefault="12403FBE" w:rsidP="58B7F4CC">
      <w:pPr>
        <w:pStyle w:val="ListParagraph"/>
        <w:numPr>
          <w:ilvl w:val="0"/>
          <w:numId w:val="1"/>
        </w:numPr>
        <w:spacing w:line="276" w:lineRule="auto"/>
        <w:rPr>
          <w:rFonts w:ascii="Aptos" w:eastAsia="Aptos" w:hAnsi="Aptos" w:cs="Aptos"/>
          <w:lang w:val="fr"/>
        </w:rPr>
      </w:pPr>
      <w:r w:rsidRPr="58B7F4CC">
        <w:rPr>
          <w:rFonts w:ascii="Aptos" w:eastAsia="Aptos" w:hAnsi="Aptos" w:cs="Aptos"/>
          <w:lang w:val="fr"/>
        </w:rPr>
        <w:t>Prévalence</w:t>
      </w:r>
      <w:r w:rsidRPr="58B7F4CC">
        <w:rPr>
          <w:rFonts w:ascii="Aptos" w:eastAsia="Aptos" w:hAnsi="Aptos" w:cs="Aptos"/>
          <w:vertAlign w:val="subscript"/>
          <w:lang w:val="fr"/>
        </w:rPr>
        <w:t>AII</w:t>
      </w:r>
      <w:r w:rsidRPr="58B7F4CC">
        <w:rPr>
          <w:rFonts w:ascii="Cambria Math" w:eastAsia="Cambria Math" w:hAnsi="Cambria Math" w:cs="Cambria Math"/>
          <w:vertAlign w:val="subscript"/>
          <w:lang w:val="fr"/>
        </w:rPr>
        <w:t>s</w:t>
      </w:r>
      <w:r w:rsidRPr="58B7F4CC">
        <w:rPr>
          <w:rFonts w:ascii="Aptos" w:eastAsia="Aptos" w:hAnsi="Aptos" w:cs="Aptos"/>
          <w:vertAlign w:val="subscript"/>
          <w:lang w:val="fr"/>
        </w:rPr>
        <w:t xml:space="preserve">2 </w:t>
      </w:r>
      <w:r w:rsidRPr="58B7F4CC">
        <w:rPr>
          <w:rFonts w:ascii="Aptos" w:eastAsia="Aptos" w:hAnsi="Aptos" w:cs="Aptos"/>
          <w:lang w:val="fr"/>
        </w:rPr>
        <w:t>est la prévalence de l’AII pour une infection par toute espèce de HTS dans le site 2,</w:t>
      </w:r>
    </w:p>
    <w:p w14:paraId="6363580E" w14:textId="2F0CBF2E" w:rsidR="6EDEF3A1" w:rsidRDefault="12403FBE" w:rsidP="58B7F4CC">
      <w:pPr>
        <w:pStyle w:val="ListParagraph"/>
        <w:numPr>
          <w:ilvl w:val="0"/>
          <w:numId w:val="1"/>
        </w:numPr>
        <w:spacing w:line="276" w:lineRule="auto"/>
        <w:rPr>
          <w:rFonts w:ascii="Aptos" w:eastAsia="Aptos" w:hAnsi="Aptos" w:cs="Aptos"/>
          <w:lang w:val="fr-FR"/>
        </w:rPr>
      </w:pPr>
      <w:proofErr w:type="gramStart"/>
      <w:r w:rsidRPr="58B7F4CC">
        <w:rPr>
          <w:rFonts w:ascii="Aptos" w:eastAsia="Aptos" w:hAnsi="Aptos" w:cs="Aptos"/>
          <w:lang w:val="fr-FR"/>
        </w:rPr>
        <w:lastRenderedPageBreak/>
        <w:t>et</w:t>
      </w:r>
      <w:proofErr w:type="gramEnd"/>
      <w:r w:rsidRPr="58B7F4CC">
        <w:rPr>
          <w:rFonts w:ascii="Aptos" w:eastAsia="Aptos" w:hAnsi="Aptos" w:cs="Aptos"/>
          <w:lang w:val="fr-FR"/>
        </w:rPr>
        <w:t xml:space="preserve"> ainsi de suite, jusqu’à Prévalence</w:t>
      </w:r>
      <w:r w:rsidRPr="58B7F4CC">
        <w:rPr>
          <w:rFonts w:ascii="Aptos" w:eastAsia="Aptos" w:hAnsi="Aptos" w:cs="Aptos"/>
          <w:vertAlign w:val="subscript"/>
          <w:lang w:val="fr-FR"/>
        </w:rPr>
        <w:t>AII</w:t>
      </w:r>
      <w:r w:rsidRPr="58B7F4CC">
        <w:rPr>
          <w:rFonts w:ascii="Cambria Math" w:eastAsia="Cambria Math" w:hAnsi="Cambria Math" w:cs="Cambria Math"/>
          <w:vertAlign w:val="subscript"/>
          <w:lang w:val="fr-FR"/>
        </w:rPr>
        <w:t>s</w:t>
      </w:r>
      <w:r w:rsidRPr="58B7F4CC">
        <w:rPr>
          <w:rFonts w:ascii="Aptos" w:eastAsia="Aptos" w:hAnsi="Aptos" w:cs="Aptos"/>
          <w:vertAlign w:val="subscript"/>
          <w:lang w:val="fr-FR"/>
        </w:rPr>
        <w:t>15</w:t>
      </w:r>
      <w:r w:rsidRPr="58B7F4CC">
        <w:rPr>
          <w:rFonts w:ascii="Aptos" w:eastAsia="Aptos" w:hAnsi="Aptos" w:cs="Aptos"/>
          <w:lang w:val="fr-FR"/>
        </w:rPr>
        <w:t xml:space="preserve"> pour le site 15.</w:t>
      </w:r>
    </w:p>
    <w:p w14:paraId="37F98532" w14:textId="3D256C9B" w:rsidR="6EDEF3A1" w:rsidRDefault="12403FBE" w:rsidP="58B7F4CC">
      <w:pPr>
        <w:spacing w:after="160" w:line="276" w:lineRule="auto"/>
      </w:pPr>
      <w:r w:rsidRPr="58B7F4CC">
        <w:rPr>
          <w:rFonts w:ascii="Aptos" w:eastAsia="Aptos" w:hAnsi="Aptos" w:cs="Aptos"/>
          <w:lang w:val="fr-FR"/>
        </w:rPr>
        <w:t>Ces valeurs peuvent également être calculées pour des moyennes spécifiques à l’espèce le cas échéant, c’est-à-dire Prévalence moyenne de l’ankylostome (</w:t>
      </w:r>
      <w:proofErr w:type="spellStart"/>
      <w:r w:rsidRPr="58B7F4CC">
        <w:rPr>
          <w:rFonts w:ascii="Aptos" w:eastAsia="Aptos" w:hAnsi="Aptos" w:cs="Aptos"/>
          <w:lang w:val="fr-FR"/>
        </w:rPr>
        <w:t>hkw</w:t>
      </w:r>
      <w:proofErr w:type="spellEnd"/>
      <w:r w:rsidRPr="58B7F4CC">
        <w:rPr>
          <w:rFonts w:ascii="Aptos" w:eastAsia="Aptos" w:hAnsi="Aptos" w:cs="Aptos"/>
          <w:lang w:val="fr-FR"/>
        </w:rPr>
        <w:t>) sur le site = Prévalence</w:t>
      </w:r>
      <w:r w:rsidRPr="58B7F4CC">
        <w:rPr>
          <w:rFonts w:ascii="Aptos" w:eastAsia="Aptos" w:hAnsi="Aptos" w:cs="Aptos"/>
          <w:vertAlign w:val="subscript"/>
          <w:lang w:val="fr-FR"/>
        </w:rPr>
        <w:t>hkw1</w:t>
      </w:r>
      <w:r w:rsidRPr="58B7F4CC">
        <w:rPr>
          <w:rFonts w:ascii="Aptos" w:eastAsia="Aptos" w:hAnsi="Aptos" w:cs="Aptos"/>
          <w:lang w:val="fr-FR"/>
        </w:rPr>
        <w:t>+ Prévalence</w:t>
      </w:r>
      <w:r w:rsidRPr="58B7F4CC">
        <w:rPr>
          <w:rFonts w:ascii="Aptos" w:eastAsia="Aptos" w:hAnsi="Aptos" w:cs="Aptos"/>
          <w:vertAlign w:val="subscript"/>
          <w:lang w:val="fr-FR"/>
        </w:rPr>
        <w:t>hkw2</w:t>
      </w:r>
      <w:r w:rsidRPr="58B7F4CC">
        <w:rPr>
          <w:rFonts w:ascii="Aptos" w:eastAsia="Aptos" w:hAnsi="Aptos" w:cs="Aptos"/>
          <w:lang w:val="fr-FR"/>
        </w:rPr>
        <w:t>.......+ Prévalence</w:t>
      </w:r>
      <w:r w:rsidRPr="58B7F4CC">
        <w:rPr>
          <w:rFonts w:ascii="Aptos" w:eastAsia="Aptos" w:hAnsi="Aptos" w:cs="Aptos"/>
          <w:vertAlign w:val="subscript"/>
          <w:lang w:val="fr-FR"/>
        </w:rPr>
        <w:t>hkw15</w:t>
      </w:r>
      <w:r w:rsidRPr="58B7F4CC">
        <w:rPr>
          <w:rFonts w:ascii="Aptos" w:eastAsia="Aptos" w:hAnsi="Aptos" w:cs="Aptos"/>
          <w:lang w:val="fr-FR"/>
        </w:rPr>
        <w:t xml:space="preserve"> / 15.</w:t>
      </w:r>
    </w:p>
    <w:p w14:paraId="52730E51" w14:textId="7FCD5C79" w:rsidR="6EDEF3A1" w:rsidRDefault="12403FBE" w:rsidP="58B7F4CC">
      <w:pPr>
        <w:spacing w:after="160" w:line="276" w:lineRule="auto"/>
      </w:pPr>
      <w:r w:rsidRPr="58B7F4CC">
        <w:rPr>
          <w:rFonts w:ascii="Aptos" w:eastAsia="Aptos" w:hAnsi="Aptos" w:cs="Aptos"/>
          <w:lang w:val="fr"/>
        </w:rPr>
        <w:t xml:space="preserve">Étant donné que le nombre d’élèves échantillonnés est le même sur tous les sites, le calcul de la prévalence moyenne de l’AII dans les sites pourrait se faire en additionnant le nombre d’élèves testés positifs pour toute infection dans tous les sites et en le divisant par le nombre total d’élèves échantillonnés dans tous les sites. Toutefois, l’approche progressive décrite ci-dessus est recommandée pour deux raisons principales. Premièrement, le calcul des estimations au niveau du site est essentiel pour l’analyse et illustre l’hétérogénéité entre les sites, ce qui peut donner des indications sur l’épidémiologie locale des HTS. Deuxièmement, comme les élèves ont été sélectionnés d’une manière qui ne produit pas une probabilité de sélection égale au sein de l’UMO, il faudrait appliquer des pondérations de probabilité de sélection pour obtenir de véritables estimations de prévalence au niveau de l’UMO. Pour ces raisons, le calcul de la prévalence moyenne du site et la référence à notre mesure au niveau de l’UMO en tant que « prévalence moyenne du site » fournissent une représentation plus claire de notre approche. </w:t>
      </w:r>
    </w:p>
    <w:p w14:paraId="28EF9948" w14:textId="669B60C3" w:rsidR="6EDEF3A1" w:rsidRDefault="12403FBE" w:rsidP="58B7F4CC">
      <w:pPr>
        <w:spacing w:after="160" w:line="276" w:lineRule="auto"/>
      </w:pPr>
      <w:proofErr w:type="gramStart"/>
      <w:r w:rsidRPr="58B7F4CC">
        <w:rPr>
          <w:rFonts w:ascii="Aptos" w:eastAsia="Aptos" w:hAnsi="Aptos" w:cs="Aptos"/>
          <w:b/>
          <w:bCs/>
          <w:lang w:val="fr-FR"/>
        </w:rPr>
        <w:t>3:</w:t>
      </w:r>
      <w:proofErr w:type="gramEnd"/>
      <w:r w:rsidRPr="58B7F4CC">
        <w:rPr>
          <w:rFonts w:ascii="Aptos" w:eastAsia="Aptos" w:hAnsi="Aptos" w:cs="Aptos"/>
          <w:b/>
          <w:bCs/>
          <w:lang w:val="fr-FR"/>
        </w:rPr>
        <w:t xml:space="preserve"> Calculez l’</w:t>
      </w:r>
      <w:r w:rsidRPr="58B7F4CC">
        <w:rPr>
          <w:rFonts w:ascii="Aptos" w:eastAsia="Aptos" w:hAnsi="Aptos" w:cs="Aptos"/>
          <w:b/>
          <w:bCs/>
          <w:u w:val="single"/>
          <w:lang w:val="fr-FR"/>
        </w:rPr>
        <w:t>infection d’intensité modérée à forte</w:t>
      </w:r>
      <w:r w:rsidRPr="58B7F4CC">
        <w:rPr>
          <w:rFonts w:ascii="Aptos" w:eastAsia="Aptos" w:hAnsi="Aptos" w:cs="Aptos"/>
          <w:b/>
          <w:bCs/>
          <w:lang w:val="fr-FR"/>
        </w:rPr>
        <w:t xml:space="preserve"> (MHII, </w:t>
      </w:r>
      <w:proofErr w:type="spellStart"/>
      <w:r w:rsidRPr="58B7F4CC">
        <w:rPr>
          <w:rFonts w:ascii="Aptos" w:eastAsia="Aptos" w:hAnsi="Aptos" w:cs="Aptos"/>
          <w:b/>
          <w:bCs/>
          <w:lang w:val="fr-FR"/>
        </w:rPr>
        <w:t>moderate</w:t>
      </w:r>
      <w:proofErr w:type="spellEnd"/>
      <w:r w:rsidRPr="58B7F4CC">
        <w:rPr>
          <w:rFonts w:ascii="Aptos" w:eastAsia="Aptos" w:hAnsi="Aptos" w:cs="Aptos"/>
          <w:b/>
          <w:bCs/>
          <w:lang w:val="fr-FR"/>
        </w:rPr>
        <w:t>-to-</w:t>
      </w:r>
      <w:proofErr w:type="spellStart"/>
      <w:r w:rsidRPr="58B7F4CC">
        <w:rPr>
          <w:rFonts w:ascii="Aptos" w:eastAsia="Aptos" w:hAnsi="Aptos" w:cs="Aptos"/>
          <w:b/>
          <w:bCs/>
          <w:lang w:val="fr-FR"/>
        </w:rPr>
        <w:t>heavy</w:t>
      </w:r>
      <w:proofErr w:type="spellEnd"/>
      <w:r w:rsidRPr="58B7F4CC">
        <w:rPr>
          <w:rFonts w:ascii="Aptos" w:eastAsia="Aptos" w:hAnsi="Aptos" w:cs="Aptos"/>
          <w:b/>
          <w:bCs/>
          <w:lang w:val="fr-FR"/>
        </w:rPr>
        <w:t xml:space="preserve"> </w:t>
      </w:r>
      <w:proofErr w:type="spellStart"/>
      <w:r w:rsidRPr="58B7F4CC">
        <w:rPr>
          <w:rFonts w:ascii="Aptos" w:eastAsia="Aptos" w:hAnsi="Aptos" w:cs="Aptos"/>
          <w:b/>
          <w:bCs/>
          <w:lang w:val="fr-FR"/>
        </w:rPr>
        <w:t>intensity</w:t>
      </w:r>
      <w:proofErr w:type="spellEnd"/>
      <w:r w:rsidRPr="58B7F4CC">
        <w:rPr>
          <w:rFonts w:ascii="Aptos" w:eastAsia="Aptos" w:hAnsi="Aptos" w:cs="Aptos"/>
          <w:b/>
          <w:bCs/>
          <w:lang w:val="fr-FR"/>
        </w:rPr>
        <w:t xml:space="preserve"> infection) au niveau du site par (i) l’ankylostome, (ii) </w:t>
      </w:r>
      <w:r w:rsidRPr="58B7F4CC">
        <w:rPr>
          <w:rFonts w:ascii="Aptos" w:eastAsia="Aptos" w:hAnsi="Aptos" w:cs="Aptos"/>
          <w:b/>
          <w:bCs/>
          <w:i/>
          <w:iCs/>
          <w:lang w:val="fr-FR"/>
        </w:rPr>
        <w:t xml:space="preserve">A. </w:t>
      </w:r>
      <w:proofErr w:type="spellStart"/>
      <w:r w:rsidRPr="58B7F4CC">
        <w:rPr>
          <w:rFonts w:ascii="Aptos" w:eastAsia="Aptos" w:hAnsi="Aptos" w:cs="Aptos"/>
          <w:b/>
          <w:bCs/>
          <w:i/>
          <w:iCs/>
          <w:lang w:val="fr-FR"/>
        </w:rPr>
        <w:t>lumbricoides</w:t>
      </w:r>
      <w:proofErr w:type="spellEnd"/>
      <w:r w:rsidRPr="58B7F4CC">
        <w:rPr>
          <w:rFonts w:ascii="Aptos" w:eastAsia="Aptos" w:hAnsi="Aptos" w:cs="Aptos"/>
          <w:b/>
          <w:bCs/>
          <w:lang w:val="fr-FR"/>
        </w:rPr>
        <w:t xml:space="preserve">, (iii) </w:t>
      </w:r>
      <w:r w:rsidRPr="58B7F4CC">
        <w:rPr>
          <w:rFonts w:ascii="Aptos" w:eastAsia="Aptos" w:hAnsi="Aptos" w:cs="Aptos"/>
          <w:b/>
          <w:bCs/>
          <w:i/>
          <w:iCs/>
          <w:lang w:val="fr-FR"/>
        </w:rPr>
        <w:t xml:space="preserve">T. </w:t>
      </w:r>
      <w:proofErr w:type="spellStart"/>
      <w:r w:rsidRPr="58B7F4CC">
        <w:rPr>
          <w:rFonts w:ascii="Aptos" w:eastAsia="Aptos" w:hAnsi="Aptos" w:cs="Aptos"/>
          <w:b/>
          <w:bCs/>
          <w:i/>
          <w:iCs/>
          <w:lang w:val="fr-FR"/>
        </w:rPr>
        <w:t>trichiura</w:t>
      </w:r>
      <w:proofErr w:type="spellEnd"/>
      <w:r w:rsidRPr="58B7F4CC">
        <w:rPr>
          <w:rFonts w:ascii="Aptos" w:eastAsia="Aptos" w:hAnsi="Aptos" w:cs="Aptos"/>
          <w:b/>
          <w:bCs/>
          <w:lang w:val="fr-FR"/>
        </w:rPr>
        <w:t>, et (iv) toute espèce de HTS.</w:t>
      </w:r>
      <w:r w:rsidRPr="58B7F4CC">
        <w:rPr>
          <w:rFonts w:ascii="Aptos" w:eastAsia="Aptos" w:hAnsi="Aptos" w:cs="Aptos"/>
          <w:lang w:val="fr-FR"/>
        </w:rPr>
        <w:t xml:space="preserve"> </w:t>
      </w:r>
    </w:p>
    <w:p w14:paraId="62497030" w14:textId="4B61D884" w:rsidR="6EDEF3A1" w:rsidRDefault="12403FBE" w:rsidP="58B7F4CC">
      <w:pPr>
        <w:spacing w:after="160" w:line="276" w:lineRule="auto"/>
      </w:pPr>
      <w:r w:rsidRPr="58B7F4CC">
        <w:rPr>
          <w:rFonts w:ascii="Aptos" w:eastAsia="Aptos" w:hAnsi="Aptos" w:cs="Aptos"/>
          <w:lang w:val="fr"/>
        </w:rPr>
        <w:t xml:space="preserve">Prévalence de la MHII pour l’infection par </w:t>
      </w:r>
      <w:r w:rsidRPr="58B7F4CC">
        <w:rPr>
          <w:rFonts w:ascii="Aptos" w:eastAsia="Aptos" w:hAnsi="Aptos" w:cs="Aptos"/>
          <w:i/>
          <w:iCs/>
          <w:lang w:val="fr"/>
        </w:rPr>
        <w:t>[ESPÈCE]</w:t>
      </w:r>
      <w:r w:rsidRPr="58B7F4CC">
        <w:rPr>
          <w:rFonts w:ascii="Aptos" w:eastAsia="Aptos" w:hAnsi="Aptos" w:cs="Aptos"/>
          <w:lang w:val="fr"/>
        </w:rPr>
        <w:t xml:space="preserve"> :</w:t>
      </w:r>
    </w:p>
    <w:p w14:paraId="4D846869" w14:textId="053F581E" w:rsidR="6EDEF3A1" w:rsidRDefault="12403FBE" w:rsidP="58B7F4CC">
      <w:pPr>
        <w:jc w:val="center"/>
      </w:pPr>
      <w:r w:rsidRPr="58B7F4CC">
        <w:rPr>
          <w:rFonts w:ascii="Aptos" w:eastAsia="Aptos" w:hAnsi="Aptos" w:cs="Aptos"/>
          <w:lang w:val="fr"/>
        </w:rPr>
        <w:t xml:space="preserve">Nombre d’enfants d’âge scolaire positifs à une MHII pour </w:t>
      </w:r>
      <w:r w:rsidRPr="58B7F4CC">
        <w:rPr>
          <w:rFonts w:ascii="Aptos" w:eastAsia="Aptos" w:hAnsi="Aptos" w:cs="Aptos"/>
          <w:i/>
          <w:iCs/>
          <w:lang w:val="fr"/>
        </w:rPr>
        <w:t>[ESPÈCE]</w:t>
      </w:r>
      <w:r w:rsidRPr="58B7F4CC">
        <w:rPr>
          <w:rFonts w:ascii="Aptos" w:eastAsia="Aptos" w:hAnsi="Aptos" w:cs="Aptos"/>
          <w:lang w:val="fr"/>
        </w:rPr>
        <w:t xml:space="preserve"> sur le site</w:t>
      </w:r>
    </w:p>
    <w:p w14:paraId="176F9401" w14:textId="3EF5DE81" w:rsidR="6EDEF3A1" w:rsidRDefault="12403FBE" w:rsidP="58B7F4CC">
      <w:pPr>
        <w:jc w:val="center"/>
      </w:pPr>
      <w:r w:rsidRPr="58B7F4CC">
        <w:rPr>
          <w:rFonts w:ascii="Aptos" w:eastAsia="Aptos" w:hAnsi="Aptos" w:cs="Aptos"/>
          <w:lang w:val="fr"/>
        </w:rPr>
        <w:t>----------------------------------------------------</w:t>
      </w:r>
    </w:p>
    <w:p w14:paraId="42186F8F" w14:textId="7A08EA8E" w:rsidR="6EDEF3A1" w:rsidRDefault="12403FBE" w:rsidP="58B7F4CC">
      <w:pPr>
        <w:spacing w:after="160" w:line="276" w:lineRule="auto"/>
        <w:jc w:val="center"/>
      </w:pPr>
      <w:r w:rsidRPr="58B7F4CC">
        <w:rPr>
          <w:rFonts w:ascii="Aptos" w:eastAsia="Aptos" w:hAnsi="Aptos" w:cs="Aptos"/>
          <w:lang w:val="fr"/>
        </w:rPr>
        <w:t>Nombre d’élèves testés sur le site</w:t>
      </w:r>
    </w:p>
    <w:p w14:paraId="4648CDA6" w14:textId="1C960649" w:rsidR="6EDEF3A1" w:rsidRDefault="12403FBE" w:rsidP="58B7F4CC">
      <w:pPr>
        <w:spacing w:after="160" w:line="276" w:lineRule="auto"/>
      </w:pPr>
      <w:r w:rsidRPr="58B7F4CC">
        <w:rPr>
          <w:rFonts w:ascii="Aptos" w:eastAsia="Aptos" w:hAnsi="Aptos" w:cs="Aptos"/>
          <w:lang w:val="fr-FR"/>
        </w:rPr>
        <w:t xml:space="preserve">Où </w:t>
      </w:r>
      <w:r w:rsidRPr="58B7F4CC">
        <w:rPr>
          <w:rFonts w:ascii="Aptos" w:eastAsia="Aptos" w:hAnsi="Aptos" w:cs="Aptos"/>
          <w:i/>
          <w:iCs/>
          <w:lang w:val="fr-FR"/>
        </w:rPr>
        <w:t>[ESPÈCE]</w:t>
      </w:r>
      <w:r w:rsidRPr="58B7F4CC">
        <w:rPr>
          <w:rFonts w:ascii="Aptos" w:eastAsia="Aptos" w:hAnsi="Aptos" w:cs="Aptos"/>
          <w:lang w:val="fr-FR"/>
        </w:rPr>
        <w:t xml:space="preserve"> fait référence à l’ankylostome, </w:t>
      </w:r>
      <w:r w:rsidRPr="58B7F4CC">
        <w:rPr>
          <w:rFonts w:ascii="Aptos" w:eastAsia="Aptos" w:hAnsi="Aptos" w:cs="Aptos"/>
          <w:i/>
          <w:iCs/>
          <w:lang w:val="fr-FR"/>
        </w:rPr>
        <w:t xml:space="preserve">A. </w:t>
      </w:r>
      <w:proofErr w:type="spellStart"/>
      <w:r w:rsidRPr="58B7F4CC">
        <w:rPr>
          <w:rFonts w:ascii="Aptos" w:eastAsia="Aptos" w:hAnsi="Aptos" w:cs="Aptos"/>
          <w:i/>
          <w:iCs/>
          <w:lang w:val="fr-FR"/>
        </w:rPr>
        <w:t>lumbricoides</w:t>
      </w:r>
      <w:proofErr w:type="spellEnd"/>
      <w:r w:rsidRPr="58B7F4CC">
        <w:rPr>
          <w:rFonts w:ascii="Aptos" w:eastAsia="Aptos" w:hAnsi="Aptos" w:cs="Aptos"/>
          <w:lang w:val="fr-FR"/>
        </w:rPr>
        <w:t xml:space="preserve">, </w:t>
      </w:r>
      <w:r w:rsidRPr="58B7F4CC">
        <w:rPr>
          <w:rFonts w:ascii="Aptos" w:eastAsia="Aptos" w:hAnsi="Aptos" w:cs="Aptos"/>
          <w:i/>
          <w:iCs/>
          <w:lang w:val="fr-FR"/>
        </w:rPr>
        <w:t xml:space="preserve">T. </w:t>
      </w:r>
      <w:proofErr w:type="spellStart"/>
      <w:r w:rsidRPr="58B7F4CC">
        <w:rPr>
          <w:rFonts w:ascii="Aptos" w:eastAsia="Aptos" w:hAnsi="Aptos" w:cs="Aptos"/>
          <w:i/>
          <w:iCs/>
          <w:lang w:val="fr-FR"/>
        </w:rPr>
        <w:t>trichiura</w:t>
      </w:r>
      <w:proofErr w:type="spellEnd"/>
      <w:r w:rsidRPr="58B7F4CC">
        <w:rPr>
          <w:rFonts w:ascii="Aptos" w:eastAsia="Aptos" w:hAnsi="Aptos" w:cs="Aptos"/>
          <w:lang w:val="fr-FR"/>
        </w:rPr>
        <w:t xml:space="preserve">, et à toute espèce de HTS. Veillez à ce que le dénominateur comprenne tous les enfants d’âge scolaire testés, et pas seulement ceux dont le test est positif. Il convient de noter que certains élèves peuvent avoir plusieurs MHII ; veillez à ce qu’un enfant présentant, par exemple, une MHII à la fois par </w:t>
      </w:r>
      <w:r w:rsidRPr="58B7F4CC">
        <w:rPr>
          <w:rFonts w:ascii="Aptos" w:eastAsia="Aptos" w:hAnsi="Aptos" w:cs="Aptos"/>
          <w:i/>
          <w:iCs/>
          <w:lang w:val="fr-FR"/>
        </w:rPr>
        <w:t xml:space="preserve">A. </w:t>
      </w:r>
      <w:proofErr w:type="spellStart"/>
      <w:proofErr w:type="gramStart"/>
      <w:r w:rsidRPr="58B7F4CC">
        <w:rPr>
          <w:rFonts w:ascii="Aptos" w:eastAsia="Aptos" w:hAnsi="Aptos" w:cs="Aptos"/>
          <w:i/>
          <w:iCs/>
          <w:lang w:val="fr-FR"/>
        </w:rPr>
        <w:t>lumbricoides</w:t>
      </w:r>
      <w:proofErr w:type="spellEnd"/>
      <w:r w:rsidRPr="58B7F4CC">
        <w:rPr>
          <w:rFonts w:ascii="Aptos" w:eastAsia="Aptos" w:hAnsi="Aptos" w:cs="Aptos"/>
          <w:i/>
          <w:iCs/>
          <w:lang w:val="fr-FR"/>
        </w:rPr>
        <w:t xml:space="preserve"> </w:t>
      </w:r>
      <w:r w:rsidRPr="58B7F4CC">
        <w:rPr>
          <w:rFonts w:ascii="Aptos" w:eastAsia="Aptos" w:hAnsi="Aptos" w:cs="Aptos"/>
          <w:lang w:val="fr-FR"/>
        </w:rPr>
        <w:t xml:space="preserve"> et</w:t>
      </w:r>
      <w:proofErr w:type="gramEnd"/>
      <w:r w:rsidRPr="58B7F4CC">
        <w:rPr>
          <w:rFonts w:ascii="Aptos" w:eastAsia="Aptos" w:hAnsi="Aptos" w:cs="Aptos"/>
          <w:lang w:val="fr-FR"/>
        </w:rPr>
        <w:t xml:space="preserve"> </w:t>
      </w:r>
      <w:r w:rsidRPr="58B7F4CC">
        <w:rPr>
          <w:rFonts w:ascii="Aptos" w:eastAsia="Aptos" w:hAnsi="Aptos" w:cs="Aptos"/>
          <w:i/>
          <w:iCs/>
          <w:lang w:val="fr-FR"/>
        </w:rPr>
        <w:t xml:space="preserve">T. </w:t>
      </w:r>
      <w:proofErr w:type="spellStart"/>
      <w:r w:rsidRPr="58B7F4CC">
        <w:rPr>
          <w:rFonts w:ascii="Aptos" w:eastAsia="Aptos" w:hAnsi="Aptos" w:cs="Aptos"/>
          <w:i/>
          <w:iCs/>
          <w:lang w:val="fr-FR"/>
        </w:rPr>
        <w:t>trichiura</w:t>
      </w:r>
      <w:proofErr w:type="spellEnd"/>
      <w:r w:rsidRPr="58B7F4CC">
        <w:rPr>
          <w:rFonts w:ascii="Aptos" w:eastAsia="Aptos" w:hAnsi="Aptos" w:cs="Aptos"/>
          <w:i/>
          <w:iCs/>
          <w:lang w:val="fr-FR"/>
        </w:rPr>
        <w:t xml:space="preserve"> </w:t>
      </w:r>
      <w:r w:rsidRPr="58B7F4CC">
        <w:rPr>
          <w:rFonts w:ascii="Aptos" w:eastAsia="Aptos" w:hAnsi="Aptos" w:cs="Aptos"/>
          <w:lang w:val="fr-FR"/>
        </w:rPr>
        <w:t xml:space="preserve"> ne soit compté qu’une seule fois dans le numérateur lors du calcul de l’estimation de la prévalence de MHII par « toute espèce de HTS ». Il convient également de noter qu’après cette étape, il y aura quatre estimations de la prévalence de la MHII pour chaque site (15 sites × 4 estimations de la MHII = 60 estimations de la MHII au niveau du site dans une UMO).</w:t>
      </w:r>
    </w:p>
    <w:p w14:paraId="72EFF74E" w14:textId="764245E5" w:rsidR="6EDEF3A1" w:rsidRDefault="12403FBE" w:rsidP="58B7F4CC">
      <w:pPr>
        <w:spacing w:after="160" w:line="276" w:lineRule="auto"/>
      </w:pPr>
      <w:proofErr w:type="gramStart"/>
      <w:r w:rsidRPr="58B7F4CC">
        <w:rPr>
          <w:rFonts w:ascii="Aptos" w:eastAsia="Aptos" w:hAnsi="Aptos" w:cs="Aptos"/>
          <w:b/>
          <w:bCs/>
          <w:lang w:val="fr-FR"/>
        </w:rPr>
        <w:t>4:</w:t>
      </w:r>
      <w:proofErr w:type="gramEnd"/>
      <w:r w:rsidRPr="58B7F4CC">
        <w:rPr>
          <w:rFonts w:ascii="Aptos" w:eastAsia="Aptos" w:hAnsi="Aptos" w:cs="Aptos"/>
          <w:b/>
          <w:bCs/>
          <w:lang w:val="fr-FR"/>
        </w:rPr>
        <w:t xml:space="preserve"> Calculez la prévalence moyenne sur le site des infections par toute espèce de HTS d’</w:t>
      </w:r>
      <w:r w:rsidRPr="58B7F4CC">
        <w:rPr>
          <w:rFonts w:ascii="Aptos" w:eastAsia="Aptos" w:hAnsi="Aptos" w:cs="Aptos"/>
          <w:b/>
          <w:bCs/>
          <w:u w:val="single"/>
          <w:lang w:val="fr-FR"/>
        </w:rPr>
        <w:t>intensité modérée à forte</w:t>
      </w:r>
      <w:r w:rsidRPr="58B7F4CC">
        <w:rPr>
          <w:rFonts w:ascii="Aptos" w:eastAsia="Aptos" w:hAnsi="Aptos" w:cs="Aptos"/>
          <w:b/>
          <w:bCs/>
          <w:lang w:val="fr-FR"/>
        </w:rPr>
        <w:t>.</w:t>
      </w:r>
    </w:p>
    <w:p w14:paraId="41E3C090" w14:textId="78C0F970" w:rsidR="6EDEF3A1" w:rsidRDefault="12403FBE" w:rsidP="58B7F4CC">
      <w:pPr>
        <w:ind w:left="2160" w:hanging="2160"/>
      </w:pPr>
      <w:r w:rsidRPr="58B7F4CC">
        <w:rPr>
          <w:rFonts w:ascii="Aptos" w:eastAsia="Aptos" w:hAnsi="Aptos" w:cs="Aptos"/>
          <w:lang w:val="fr-FR"/>
        </w:rPr>
        <w:t xml:space="preserve">MHII moyenne du site </w:t>
      </w:r>
      <w:r w:rsidR="00F32013">
        <w:rPr>
          <w:rFonts w:ascii="Aptos" w:eastAsia="Aptos" w:hAnsi="Aptos" w:cs="Aptos"/>
          <w:lang w:val="fr-FR"/>
        </w:rPr>
        <w:t xml:space="preserve">       </w:t>
      </w:r>
      <w:r w:rsidRPr="58B7F4CC">
        <w:rPr>
          <w:rFonts w:ascii="Aptos" w:eastAsia="Aptos" w:hAnsi="Aptos" w:cs="Aptos"/>
          <w:lang w:val="fr-FR"/>
        </w:rPr>
        <w:t xml:space="preserve">= </w:t>
      </w:r>
      <w:proofErr w:type="gramStart"/>
      <w:r w:rsidRPr="58B7F4CC">
        <w:rPr>
          <w:rFonts w:ascii="Aptos" w:eastAsia="Aptos" w:hAnsi="Aptos" w:cs="Aptos"/>
          <w:u w:val="single"/>
          <w:lang w:val="fr-FR"/>
        </w:rPr>
        <w:t>Prévalence</w:t>
      </w:r>
      <w:r w:rsidRPr="58B7F4CC">
        <w:rPr>
          <w:rFonts w:ascii="Aptos" w:eastAsia="Aptos" w:hAnsi="Aptos" w:cs="Aptos"/>
          <w:vertAlign w:val="subscript"/>
          <w:lang w:val="fr-FR"/>
        </w:rPr>
        <w:t>MHII,</w:t>
      </w:r>
      <w:r w:rsidRPr="58B7F4CC">
        <w:rPr>
          <w:rFonts w:ascii="Aptos" w:eastAsia="Aptos" w:hAnsi="Aptos" w:cs="Aptos"/>
          <w:u w:val="single"/>
          <w:vertAlign w:val="subscript"/>
          <w:lang w:val="fr-FR"/>
        </w:rPr>
        <w:t>s</w:t>
      </w:r>
      <w:proofErr w:type="gramEnd"/>
      <w:r w:rsidRPr="58B7F4CC">
        <w:rPr>
          <w:rFonts w:ascii="Aptos" w:eastAsia="Aptos" w:hAnsi="Aptos" w:cs="Aptos"/>
          <w:u w:val="single"/>
          <w:vertAlign w:val="subscript"/>
          <w:lang w:val="fr-FR"/>
        </w:rPr>
        <w:t>1</w:t>
      </w:r>
      <w:r w:rsidRPr="58B7F4CC">
        <w:rPr>
          <w:rFonts w:ascii="Arial" w:eastAsia="Arial" w:hAnsi="Arial" w:cs="Arial"/>
          <w:u w:val="single"/>
          <w:lang w:val="fr-FR"/>
        </w:rPr>
        <w:t xml:space="preserve"> </w:t>
      </w:r>
      <w:r w:rsidRPr="58B7F4CC">
        <w:rPr>
          <w:rFonts w:ascii="Aptos" w:eastAsia="Aptos" w:hAnsi="Aptos" w:cs="Aptos"/>
          <w:u w:val="single"/>
          <w:lang w:val="fr-FR"/>
        </w:rPr>
        <w:t>+ Prévalence</w:t>
      </w:r>
      <w:r w:rsidRPr="58B7F4CC">
        <w:rPr>
          <w:rFonts w:ascii="Aptos" w:eastAsia="Aptos" w:hAnsi="Aptos" w:cs="Aptos"/>
          <w:vertAlign w:val="subscript"/>
          <w:lang w:val="fr-FR"/>
        </w:rPr>
        <w:t xml:space="preserve"> MHII,</w:t>
      </w:r>
      <w:r w:rsidRPr="58B7F4CC">
        <w:rPr>
          <w:rFonts w:ascii="Aptos" w:eastAsia="Aptos" w:hAnsi="Aptos" w:cs="Aptos"/>
          <w:u w:val="single"/>
          <w:vertAlign w:val="subscript"/>
          <w:lang w:val="fr-FR"/>
        </w:rPr>
        <w:t>s2</w:t>
      </w:r>
      <w:r w:rsidRPr="58B7F4CC">
        <w:rPr>
          <w:rFonts w:ascii="Arial" w:eastAsia="Arial" w:hAnsi="Arial" w:cs="Arial"/>
          <w:u w:val="single"/>
          <w:lang w:val="fr-FR"/>
        </w:rPr>
        <w:t xml:space="preserve"> </w:t>
      </w:r>
      <w:r w:rsidRPr="58B7F4CC">
        <w:rPr>
          <w:rFonts w:ascii="Aptos" w:eastAsia="Aptos" w:hAnsi="Aptos" w:cs="Aptos"/>
          <w:u w:val="single"/>
          <w:lang w:val="fr-FR"/>
        </w:rPr>
        <w:t>+ Prévalence</w:t>
      </w:r>
      <w:r w:rsidRPr="58B7F4CC">
        <w:rPr>
          <w:rFonts w:ascii="Aptos" w:eastAsia="Aptos" w:hAnsi="Aptos" w:cs="Aptos"/>
          <w:vertAlign w:val="subscript"/>
          <w:lang w:val="fr-FR"/>
        </w:rPr>
        <w:t xml:space="preserve"> MHII,</w:t>
      </w:r>
      <w:r w:rsidRPr="58B7F4CC">
        <w:rPr>
          <w:rFonts w:ascii="Aptos" w:eastAsia="Aptos" w:hAnsi="Aptos" w:cs="Aptos"/>
          <w:u w:val="single"/>
          <w:vertAlign w:val="subscript"/>
          <w:lang w:val="fr-FR"/>
        </w:rPr>
        <w:t>s3</w:t>
      </w:r>
      <w:r w:rsidRPr="58B7F4CC">
        <w:rPr>
          <w:rFonts w:ascii="Arial" w:eastAsia="Arial" w:hAnsi="Arial" w:cs="Arial"/>
          <w:u w:val="single"/>
          <w:lang w:val="fr-FR"/>
        </w:rPr>
        <w:t xml:space="preserve"> </w:t>
      </w:r>
      <w:r w:rsidRPr="58B7F4CC">
        <w:rPr>
          <w:rFonts w:ascii="Aptos" w:eastAsia="Aptos" w:hAnsi="Aptos" w:cs="Aptos"/>
          <w:u w:val="single"/>
          <w:lang w:val="fr-FR"/>
        </w:rPr>
        <w:t>+</w:t>
      </w:r>
      <w:r w:rsidRPr="58B7F4CC">
        <w:rPr>
          <w:rFonts w:ascii="Cambria Math" w:eastAsia="Cambria Math" w:hAnsi="Cambria Math" w:cs="Cambria Math"/>
          <w:u w:val="single"/>
          <w:lang w:val="fr-FR"/>
        </w:rPr>
        <w:t>⋯</w:t>
      </w:r>
      <w:r w:rsidRPr="58B7F4CC">
        <w:rPr>
          <w:rFonts w:ascii="Aptos" w:eastAsia="Aptos" w:hAnsi="Aptos" w:cs="Aptos"/>
          <w:u w:val="single"/>
          <w:lang w:val="fr-FR"/>
        </w:rPr>
        <w:t>+ Prévalence</w:t>
      </w:r>
      <w:r w:rsidRPr="58B7F4CC">
        <w:rPr>
          <w:rFonts w:ascii="Aptos" w:eastAsia="Aptos" w:hAnsi="Aptos" w:cs="Aptos"/>
          <w:vertAlign w:val="subscript"/>
          <w:lang w:val="fr-FR"/>
        </w:rPr>
        <w:t xml:space="preserve"> MHII,</w:t>
      </w:r>
      <w:r w:rsidRPr="58B7F4CC">
        <w:rPr>
          <w:rFonts w:ascii="Aptos" w:eastAsia="Aptos" w:hAnsi="Aptos" w:cs="Aptos"/>
          <w:u w:val="single"/>
          <w:vertAlign w:val="subscript"/>
          <w:lang w:val="fr-FR"/>
        </w:rPr>
        <w:t>s15</w:t>
      </w:r>
    </w:p>
    <w:p w14:paraId="4BE056A4" w14:textId="72D26E03" w:rsidR="6EDEF3A1" w:rsidRDefault="12403FBE" w:rsidP="58B7F4CC">
      <w:pPr>
        <w:spacing w:after="160" w:line="276" w:lineRule="auto"/>
        <w:ind w:left="2160" w:hanging="2160"/>
      </w:pPr>
      <w:proofErr w:type="gramStart"/>
      <w:r w:rsidRPr="58B7F4CC">
        <w:rPr>
          <w:rFonts w:ascii="Aptos" w:eastAsia="Aptos" w:hAnsi="Aptos" w:cs="Aptos"/>
          <w:lang w:val="fr-FR"/>
        </w:rPr>
        <w:t>prévalence</w:t>
      </w:r>
      <w:proofErr w:type="gramEnd"/>
      <w:r w:rsidRPr="58B7F4CC">
        <w:rPr>
          <w:rFonts w:ascii="Aptos" w:eastAsia="Aptos" w:hAnsi="Aptos" w:cs="Aptos"/>
          <w:lang w:val="fr-FR"/>
        </w:rPr>
        <w:t xml:space="preserve">                                                                                              15</w:t>
      </w:r>
    </w:p>
    <w:p w14:paraId="63EDC495" w14:textId="6226C4E6" w:rsidR="6EDEF3A1" w:rsidRDefault="12403FBE" w:rsidP="58B7F4CC">
      <w:pPr>
        <w:spacing w:after="160" w:line="276" w:lineRule="auto"/>
      </w:pPr>
      <w:proofErr w:type="gramStart"/>
      <w:r w:rsidRPr="58B7F4CC">
        <w:rPr>
          <w:rFonts w:ascii="Aptos" w:eastAsia="Aptos" w:hAnsi="Aptos" w:cs="Aptos"/>
          <w:lang w:val="fr-FR"/>
        </w:rPr>
        <w:t>où</w:t>
      </w:r>
      <w:proofErr w:type="gramEnd"/>
      <w:r w:rsidRPr="58B7F4CC">
        <w:rPr>
          <w:rFonts w:ascii="Aptos" w:eastAsia="Aptos" w:hAnsi="Aptos" w:cs="Aptos"/>
          <w:lang w:val="fr-FR"/>
        </w:rPr>
        <w:t xml:space="preserve"> :</w:t>
      </w:r>
    </w:p>
    <w:p w14:paraId="7C2A3A5E" w14:textId="6CF91BE3" w:rsidR="6EDEF3A1" w:rsidRDefault="12403FBE" w:rsidP="58B7F4CC">
      <w:pPr>
        <w:pStyle w:val="ListParagraph"/>
        <w:numPr>
          <w:ilvl w:val="0"/>
          <w:numId w:val="1"/>
        </w:numPr>
        <w:spacing w:line="276" w:lineRule="auto"/>
        <w:rPr>
          <w:rFonts w:ascii="Aptos" w:eastAsia="Aptos" w:hAnsi="Aptos" w:cs="Aptos"/>
          <w:lang w:val="fr"/>
        </w:rPr>
      </w:pPr>
      <w:r w:rsidRPr="58B7F4CC">
        <w:rPr>
          <w:rFonts w:ascii="Aptos" w:eastAsia="Aptos" w:hAnsi="Aptos" w:cs="Aptos"/>
          <w:lang w:val="fr"/>
        </w:rPr>
        <w:t>Prévalence</w:t>
      </w:r>
      <w:r w:rsidRPr="58B7F4CC">
        <w:rPr>
          <w:rFonts w:ascii="Aptos" w:eastAsia="Aptos" w:hAnsi="Aptos" w:cs="Aptos"/>
          <w:vertAlign w:val="subscript"/>
          <w:lang w:val="fr"/>
        </w:rPr>
        <w:t>MHII</w:t>
      </w:r>
      <w:r w:rsidRPr="58B7F4CC">
        <w:rPr>
          <w:rFonts w:ascii="Cambria Math" w:eastAsia="Cambria Math" w:hAnsi="Cambria Math" w:cs="Cambria Math"/>
          <w:vertAlign w:val="subscript"/>
          <w:lang w:val="fr"/>
        </w:rPr>
        <w:t>s</w:t>
      </w:r>
      <w:r w:rsidRPr="58B7F4CC">
        <w:rPr>
          <w:rFonts w:ascii="Aptos" w:eastAsia="Aptos" w:hAnsi="Aptos" w:cs="Aptos"/>
          <w:vertAlign w:val="subscript"/>
          <w:lang w:val="fr"/>
        </w:rPr>
        <w:t xml:space="preserve">1 </w:t>
      </w:r>
      <w:r w:rsidRPr="58B7F4CC">
        <w:rPr>
          <w:rFonts w:ascii="Aptos" w:eastAsia="Aptos" w:hAnsi="Aptos" w:cs="Aptos"/>
          <w:lang w:val="fr"/>
        </w:rPr>
        <w:t>est la prévalence de la MHII pour une infection par toute espèce de HTS dans le site 1,</w:t>
      </w:r>
    </w:p>
    <w:p w14:paraId="06037EC6" w14:textId="73456933" w:rsidR="6EDEF3A1" w:rsidRDefault="12403FBE" w:rsidP="58B7F4CC">
      <w:pPr>
        <w:pStyle w:val="ListParagraph"/>
        <w:numPr>
          <w:ilvl w:val="0"/>
          <w:numId w:val="1"/>
        </w:numPr>
        <w:spacing w:line="276" w:lineRule="auto"/>
        <w:rPr>
          <w:rFonts w:ascii="Aptos" w:eastAsia="Aptos" w:hAnsi="Aptos" w:cs="Aptos"/>
          <w:lang w:val="fr"/>
        </w:rPr>
      </w:pPr>
      <w:r w:rsidRPr="58B7F4CC">
        <w:rPr>
          <w:rFonts w:ascii="Aptos" w:eastAsia="Aptos" w:hAnsi="Aptos" w:cs="Aptos"/>
          <w:lang w:val="fr"/>
        </w:rPr>
        <w:t>Prévalence</w:t>
      </w:r>
      <w:r w:rsidRPr="58B7F4CC">
        <w:rPr>
          <w:rFonts w:ascii="Aptos" w:eastAsia="Aptos" w:hAnsi="Aptos" w:cs="Aptos"/>
          <w:vertAlign w:val="subscript"/>
          <w:lang w:val="fr"/>
        </w:rPr>
        <w:t>MHII</w:t>
      </w:r>
      <w:r w:rsidRPr="58B7F4CC">
        <w:rPr>
          <w:rFonts w:ascii="Cambria Math" w:eastAsia="Cambria Math" w:hAnsi="Cambria Math" w:cs="Cambria Math"/>
          <w:vertAlign w:val="subscript"/>
          <w:lang w:val="fr"/>
        </w:rPr>
        <w:t>s</w:t>
      </w:r>
      <w:r w:rsidRPr="58B7F4CC">
        <w:rPr>
          <w:rFonts w:ascii="Aptos" w:eastAsia="Aptos" w:hAnsi="Aptos" w:cs="Aptos"/>
          <w:vertAlign w:val="subscript"/>
          <w:lang w:val="fr"/>
        </w:rPr>
        <w:t xml:space="preserve">2 </w:t>
      </w:r>
      <w:r w:rsidRPr="58B7F4CC">
        <w:rPr>
          <w:rFonts w:ascii="Aptos" w:eastAsia="Aptos" w:hAnsi="Aptos" w:cs="Aptos"/>
          <w:lang w:val="fr"/>
        </w:rPr>
        <w:t xml:space="preserve">est la prévalence de la MHII pour une infection par toute espèce de HTS dans le site </w:t>
      </w:r>
      <w:r w:rsidRPr="58B7F4CC">
        <w:rPr>
          <w:rFonts w:ascii="Aptos" w:eastAsia="Aptos" w:hAnsi="Aptos" w:cs="Aptos"/>
          <w:lang w:val="fr"/>
        </w:rPr>
        <w:lastRenderedPageBreak/>
        <w:t>2,</w:t>
      </w:r>
    </w:p>
    <w:p w14:paraId="69710229" w14:textId="36324964" w:rsidR="6EDEF3A1" w:rsidRDefault="12403FBE" w:rsidP="58B7F4CC">
      <w:pPr>
        <w:pStyle w:val="ListParagraph"/>
        <w:numPr>
          <w:ilvl w:val="0"/>
          <w:numId w:val="1"/>
        </w:numPr>
        <w:spacing w:line="276" w:lineRule="auto"/>
        <w:rPr>
          <w:rFonts w:ascii="Aptos" w:eastAsia="Aptos" w:hAnsi="Aptos" w:cs="Aptos"/>
          <w:lang w:val="fr-FR"/>
        </w:rPr>
      </w:pPr>
      <w:proofErr w:type="gramStart"/>
      <w:r w:rsidRPr="58B7F4CC">
        <w:rPr>
          <w:rFonts w:ascii="Aptos" w:eastAsia="Aptos" w:hAnsi="Aptos" w:cs="Aptos"/>
          <w:lang w:val="fr-FR"/>
        </w:rPr>
        <w:t>et</w:t>
      </w:r>
      <w:proofErr w:type="gramEnd"/>
      <w:r w:rsidRPr="58B7F4CC">
        <w:rPr>
          <w:rFonts w:ascii="Aptos" w:eastAsia="Aptos" w:hAnsi="Aptos" w:cs="Aptos"/>
          <w:lang w:val="fr-FR"/>
        </w:rPr>
        <w:t xml:space="preserve"> ainsi de suite, jusqu’à Prévalence</w:t>
      </w:r>
      <w:r w:rsidRPr="58B7F4CC">
        <w:rPr>
          <w:rFonts w:ascii="Aptos" w:eastAsia="Aptos" w:hAnsi="Aptos" w:cs="Aptos"/>
          <w:vertAlign w:val="subscript"/>
          <w:lang w:val="fr-FR"/>
        </w:rPr>
        <w:t>MHII</w:t>
      </w:r>
      <w:r w:rsidRPr="58B7F4CC">
        <w:rPr>
          <w:rFonts w:ascii="Cambria Math" w:eastAsia="Cambria Math" w:hAnsi="Cambria Math" w:cs="Cambria Math"/>
          <w:vertAlign w:val="subscript"/>
          <w:lang w:val="fr-FR"/>
        </w:rPr>
        <w:t>s</w:t>
      </w:r>
      <w:r w:rsidRPr="58B7F4CC">
        <w:rPr>
          <w:rFonts w:ascii="Aptos" w:eastAsia="Aptos" w:hAnsi="Aptos" w:cs="Aptos"/>
          <w:vertAlign w:val="subscript"/>
          <w:lang w:val="fr-FR"/>
        </w:rPr>
        <w:t>15</w:t>
      </w:r>
      <w:r w:rsidRPr="58B7F4CC">
        <w:rPr>
          <w:rFonts w:ascii="Aptos" w:eastAsia="Aptos" w:hAnsi="Aptos" w:cs="Aptos"/>
          <w:lang w:val="fr-FR"/>
        </w:rPr>
        <w:t xml:space="preserve"> pour le site 15.</w:t>
      </w:r>
    </w:p>
    <w:p w14:paraId="0966D89B" w14:textId="1373E2E9" w:rsidR="6EDEF3A1" w:rsidRDefault="12403FBE" w:rsidP="58B7F4CC">
      <w:pPr>
        <w:spacing w:after="160" w:line="276" w:lineRule="auto"/>
      </w:pPr>
      <w:r w:rsidRPr="58B7F4CC">
        <w:rPr>
          <w:rFonts w:ascii="Aptos" w:eastAsia="Aptos" w:hAnsi="Aptos" w:cs="Aptos"/>
          <w:lang w:val="fr-FR"/>
        </w:rPr>
        <w:t xml:space="preserve">Ces valeurs peuvent également être calculées pour des moyennes spécifiques à l’espèce le cas échéant, c’est-à-dire Prévalence moyenne de T. </w:t>
      </w:r>
      <w:proofErr w:type="spellStart"/>
      <w:r w:rsidRPr="58B7F4CC">
        <w:rPr>
          <w:rFonts w:ascii="Aptos" w:eastAsia="Aptos" w:hAnsi="Aptos" w:cs="Aptos"/>
          <w:lang w:val="fr-FR"/>
        </w:rPr>
        <w:t>trichiura</w:t>
      </w:r>
      <w:proofErr w:type="spellEnd"/>
      <w:r w:rsidRPr="58B7F4CC">
        <w:rPr>
          <w:rFonts w:ascii="Aptos" w:eastAsia="Aptos" w:hAnsi="Aptos" w:cs="Aptos"/>
          <w:lang w:val="fr-FR"/>
        </w:rPr>
        <w:t xml:space="preserve"> (tri) sur le site = Prévalence</w:t>
      </w:r>
      <w:r w:rsidRPr="58B7F4CC">
        <w:rPr>
          <w:rFonts w:ascii="Aptos" w:eastAsia="Aptos" w:hAnsi="Aptos" w:cs="Aptos"/>
          <w:vertAlign w:val="subscript"/>
          <w:lang w:val="fr-FR"/>
        </w:rPr>
        <w:t>tri1</w:t>
      </w:r>
      <w:r w:rsidRPr="58B7F4CC">
        <w:rPr>
          <w:rFonts w:ascii="Aptos" w:eastAsia="Aptos" w:hAnsi="Aptos" w:cs="Aptos"/>
          <w:lang w:val="fr-FR"/>
        </w:rPr>
        <w:t>+ Prévalence</w:t>
      </w:r>
      <w:r w:rsidRPr="58B7F4CC">
        <w:rPr>
          <w:rFonts w:ascii="Aptos" w:eastAsia="Aptos" w:hAnsi="Aptos" w:cs="Aptos"/>
          <w:vertAlign w:val="subscript"/>
          <w:lang w:val="fr-FR"/>
        </w:rPr>
        <w:t>tri2</w:t>
      </w:r>
      <w:r w:rsidRPr="58B7F4CC">
        <w:rPr>
          <w:rFonts w:ascii="Aptos" w:eastAsia="Aptos" w:hAnsi="Aptos" w:cs="Aptos"/>
          <w:lang w:val="fr-FR"/>
        </w:rPr>
        <w:t>.......+ Prévalence</w:t>
      </w:r>
      <w:r w:rsidRPr="58B7F4CC">
        <w:rPr>
          <w:rFonts w:ascii="Aptos" w:eastAsia="Aptos" w:hAnsi="Aptos" w:cs="Aptos"/>
          <w:vertAlign w:val="subscript"/>
          <w:lang w:val="fr-FR"/>
        </w:rPr>
        <w:t>tri15</w:t>
      </w:r>
      <w:r w:rsidRPr="58B7F4CC">
        <w:rPr>
          <w:rFonts w:ascii="Aptos" w:eastAsia="Aptos" w:hAnsi="Aptos" w:cs="Aptos"/>
          <w:lang w:val="fr-FR"/>
        </w:rPr>
        <w:t xml:space="preserve"> / 15.</w:t>
      </w:r>
    </w:p>
    <w:p w14:paraId="5EC7831A" w14:textId="3F864AB2" w:rsidR="6EDEF3A1" w:rsidRDefault="12403FBE" w:rsidP="58B7F4CC">
      <w:pPr>
        <w:spacing w:after="160" w:line="276" w:lineRule="auto"/>
      </w:pPr>
      <w:proofErr w:type="gramStart"/>
      <w:r w:rsidRPr="58B7F4CC">
        <w:rPr>
          <w:rFonts w:ascii="Aptos" w:eastAsia="Aptos" w:hAnsi="Aptos" w:cs="Aptos"/>
          <w:b/>
          <w:bCs/>
          <w:lang w:val="fr-FR"/>
        </w:rPr>
        <w:t>5:</w:t>
      </w:r>
      <w:proofErr w:type="gramEnd"/>
      <w:r w:rsidRPr="58B7F4CC">
        <w:rPr>
          <w:rFonts w:ascii="Aptos" w:eastAsia="Aptos" w:hAnsi="Aptos" w:cs="Aptos"/>
          <w:b/>
          <w:bCs/>
          <w:lang w:val="fr-FR"/>
        </w:rPr>
        <w:t xml:space="preserve"> Organisez et visualisez les résultats.</w:t>
      </w:r>
      <w:r w:rsidRPr="58B7F4CC">
        <w:rPr>
          <w:rFonts w:ascii="Aptos" w:eastAsia="Aptos" w:hAnsi="Aptos" w:cs="Aptos"/>
          <w:lang w:val="fr-FR"/>
        </w:rPr>
        <w:t xml:space="preserve"> Avec 120 estimations de prévalence au niveau des sites et 8 estimations de prévalence moyenne par site générées par UMO, il est important de présenter les résultats dans un format facilement compréhensible par les parties prenantes pour qu’ils puissent être utilisés. Les tableaux et les figures peuvent être créés dans différents formats pour répondre à vos besoins (voir l’exemple de la coquille du tableau ci-dessous)</w:t>
      </w:r>
    </w:p>
    <w:p w14:paraId="44B12C30" w14:textId="3E4145F8" w:rsidR="6EDEF3A1" w:rsidRDefault="12403FBE" w:rsidP="58B7F4CC">
      <w:pPr>
        <w:spacing w:after="160" w:line="276" w:lineRule="auto"/>
      </w:pPr>
      <w:r w:rsidRPr="58B7F4CC">
        <w:rPr>
          <w:rFonts w:ascii="Aptos" w:eastAsia="Aptos" w:hAnsi="Aptos" w:cs="Aptos"/>
          <w:b/>
          <w:bCs/>
          <w:lang w:val="fr"/>
        </w:rPr>
        <w:t>Exemple de tableau</w:t>
      </w:r>
      <w:r w:rsidRPr="58B7F4CC">
        <w:rPr>
          <w:rFonts w:ascii="Aptos" w:eastAsia="Aptos" w:hAnsi="Aptos" w:cs="Aptos"/>
          <w:lang w:val="fr"/>
        </w:rPr>
        <w:t>. Prévalence estimée du site et prévalence moyenne des HTS du site par UMO, espèce et intensité de l’infection</w:t>
      </w:r>
    </w:p>
    <w:tbl>
      <w:tblPr>
        <w:tblStyle w:val="TableGrid"/>
        <w:tblW w:w="0" w:type="auto"/>
        <w:tblLayout w:type="fixed"/>
        <w:tblLook w:val="04A0" w:firstRow="1" w:lastRow="0" w:firstColumn="1" w:lastColumn="0" w:noHBand="0" w:noVBand="1"/>
      </w:tblPr>
      <w:tblGrid>
        <w:gridCol w:w="1379"/>
        <w:gridCol w:w="1107"/>
        <w:gridCol w:w="1193"/>
        <w:gridCol w:w="862"/>
        <w:gridCol w:w="990"/>
        <w:gridCol w:w="555"/>
        <w:gridCol w:w="810"/>
        <w:gridCol w:w="752"/>
        <w:gridCol w:w="770"/>
        <w:gridCol w:w="853"/>
        <w:gridCol w:w="809"/>
      </w:tblGrid>
      <w:tr w:rsidR="58B7F4CC" w14:paraId="3C662FCA"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425A2845" w14:textId="72D7310D" w:rsidR="58B7F4CC" w:rsidRDefault="58B7F4CC"/>
        </w:tc>
        <w:tc>
          <w:tcPr>
            <w:tcW w:w="2300" w:type="dxa"/>
            <w:gridSpan w:val="2"/>
            <w:tcBorders>
              <w:top w:val="single" w:sz="8" w:space="0" w:color="auto"/>
              <w:left w:val="double" w:sz="4" w:space="0" w:color="000000" w:themeColor="text1"/>
              <w:bottom w:val="single" w:sz="8" w:space="0" w:color="auto"/>
              <w:right w:val="double" w:sz="4" w:space="0" w:color="000000" w:themeColor="text1"/>
            </w:tcBorders>
            <w:tcMar>
              <w:left w:w="108" w:type="dxa"/>
              <w:right w:w="108" w:type="dxa"/>
            </w:tcMar>
            <w:vAlign w:val="center"/>
          </w:tcPr>
          <w:p w14:paraId="64F46BB3" w14:textId="705917F0" w:rsidR="58B7F4CC" w:rsidRDefault="58B7F4CC" w:rsidP="58B7F4CC">
            <w:pPr>
              <w:jc w:val="center"/>
            </w:pPr>
            <w:r w:rsidRPr="58B7F4CC">
              <w:rPr>
                <w:rFonts w:ascii="Aptos" w:eastAsia="Aptos" w:hAnsi="Aptos" w:cs="Aptos"/>
                <w:b/>
                <w:bCs/>
                <w:lang w:val="fr"/>
              </w:rPr>
              <w:t>Nombre d’élèves âgés de 10 à 14 ans</w:t>
            </w:r>
          </w:p>
        </w:tc>
        <w:tc>
          <w:tcPr>
            <w:tcW w:w="1852" w:type="dxa"/>
            <w:gridSpan w:val="2"/>
            <w:tcBorders>
              <w:top w:val="single" w:sz="8" w:space="0" w:color="auto"/>
              <w:left w:val="nil"/>
              <w:bottom w:val="single" w:sz="8" w:space="0" w:color="auto"/>
              <w:right w:val="single" w:sz="8" w:space="0" w:color="auto"/>
            </w:tcBorders>
            <w:tcMar>
              <w:left w:w="108" w:type="dxa"/>
              <w:right w:w="108" w:type="dxa"/>
            </w:tcMar>
            <w:vAlign w:val="center"/>
          </w:tcPr>
          <w:p w14:paraId="59B7DC00" w14:textId="6D669767" w:rsidR="58B7F4CC" w:rsidRDefault="58B7F4CC" w:rsidP="58B7F4CC">
            <w:pPr>
              <w:jc w:val="center"/>
              <w:rPr>
                <w:rFonts w:ascii="Aptos" w:eastAsia="Aptos" w:hAnsi="Aptos" w:cs="Aptos"/>
                <w:b/>
                <w:bCs/>
                <w:lang w:val="fr-FR"/>
              </w:rPr>
            </w:pPr>
            <w:proofErr w:type="spellStart"/>
            <w:r w:rsidRPr="58B7F4CC">
              <w:rPr>
                <w:rFonts w:asciiTheme="minorHAnsi" w:eastAsiaTheme="minorEastAsia" w:hAnsiTheme="minorHAnsi" w:cstheme="minorBidi"/>
                <w:b/>
                <w:bCs/>
                <w:lang w:val="fr-FR"/>
              </w:rPr>
              <w:t>Ankylostomias</w:t>
            </w:r>
            <w:proofErr w:type="spellEnd"/>
          </w:p>
        </w:tc>
        <w:tc>
          <w:tcPr>
            <w:tcW w:w="1365" w:type="dxa"/>
            <w:gridSpan w:val="2"/>
            <w:tcBorders>
              <w:top w:val="single" w:sz="8" w:space="0" w:color="auto"/>
              <w:left w:val="nil"/>
              <w:bottom w:val="single" w:sz="8" w:space="0" w:color="auto"/>
              <w:right w:val="single" w:sz="8" w:space="0" w:color="auto"/>
            </w:tcBorders>
            <w:tcMar>
              <w:left w:w="108" w:type="dxa"/>
              <w:right w:w="108" w:type="dxa"/>
            </w:tcMar>
            <w:vAlign w:val="center"/>
          </w:tcPr>
          <w:p w14:paraId="7581D72C" w14:textId="23043B10" w:rsidR="58B7F4CC" w:rsidRDefault="58B7F4CC" w:rsidP="58B7F4CC">
            <w:pPr>
              <w:jc w:val="center"/>
            </w:pPr>
            <w:r w:rsidRPr="58B7F4CC">
              <w:rPr>
                <w:rFonts w:ascii="Aptos" w:eastAsia="Aptos" w:hAnsi="Aptos" w:cs="Aptos"/>
                <w:b/>
                <w:bCs/>
                <w:lang w:val="fr"/>
              </w:rPr>
              <w:t>Ascaris</w:t>
            </w:r>
          </w:p>
        </w:tc>
        <w:tc>
          <w:tcPr>
            <w:tcW w:w="1522" w:type="dxa"/>
            <w:gridSpan w:val="2"/>
            <w:tcBorders>
              <w:top w:val="single" w:sz="8" w:space="0" w:color="auto"/>
              <w:left w:val="nil"/>
              <w:bottom w:val="single" w:sz="8" w:space="0" w:color="auto"/>
              <w:right w:val="double" w:sz="4" w:space="0" w:color="000000" w:themeColor="text1"/>
            </w:tcBorders>
            <w:tcMar>
              <w:left w:w="108" w:type="dxa"/>
              <w:right w:w="108" w:type="dxa"/>
            </w:tcMar>
            <w:vAlign w:val="center"/>
          </w:tcPr>
          <w:p w14:paraId="0F2E0D12" w14:textId="0F4E8C5C" w:rsidR="58B7F4CC" w:rsidRDefault="58B7F4CC" w:rsidP="58B7F4CC">
            <w:pPr>
              <w:jc w:val="center"/>
            </w:pPr>
            <w:proofErr w:type="spellStart"/>
            <w:r w:rsidRPr="58B7F4CC">
              <w:rPr>
                <w:rFonts w:ascii="Aptos" w:eastAsia="Aptos" w:hAnsi="Aptos" w:cs="Aptos"/>
                <w:b/>
                <w:bCs/>
                <w:lang w:val="fr-FR"/>
              </w:rPr>
              <w:t>Trichuris</w:t>
            </w:r>
            <w:proofErr w:type="spellEnd"/>
          </w:p>
        </w:tc>
        <w:tc>
          <w:tcPr>
            <w:tcW w:w="1662" w:type="dxa"/>
            <w:gridSpan w:val="2"/>
            <w:tcBorders>
              <w:top w:val="single" w:sz="8" w:space="0" w:color="auto"/>
              <w:left w:val="nil"/>
              <w:bottom w:val="single" w:sz="8" w:space="0" w:color="auto"/>
              <w:right w:val="single" w:sz="8" w:space="0" w:color="auto"/>
            </w:tcBorders>
            <w:tcMar>
              <w:left w:w="108" w:type="dxa"/>
              <w:right w:w="108" w:type="dxa"/>
            </w:tcMar>
            <w:vAlign w:val="center"/>
          </w:tcPr>
          <w:p w14:paraId="1CBC90B1" w14:textId="4504924D" w:rsidR="58B7F4CC" w:rsidRDefault="58B7F4CC" w:rsidP="58B7F4CC">
            <w:pPr>
              <w:jc w:val="center"/>
            </w:pPr>
            <w:r w:rsidRPr="58B7F4CC">
              <w:rPr>
                <w:rFonts w:ascii="Aptos" w:eastAsia="Aptos" w:hAnsi="Aptos" w:cs="Aptos"/>
                <w:b/>
                <w:bCs/>
                <w:lang w:val="fr"/>
              </w:rPr>
              <w:t>Toute espèce de HTS</w:t>
            </w:r>
          </w:p>
        </w:tc>
      </w:tr>
      <w:tr w:rsidR="58B7F4CC" w14:paraId="3961B577"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6B43FCA4" w14:textId="04247267" w:rsidR="58B7F4CC" w:rsidRDefault="58B7F4CC"/>
        </w:tc>
        <w:tc>
          <w:tcPr>
            <w:tcW w:w="1107" w:type="dxa"/>
            <w:tcBorders>
              <w:top w:val="single" w:sz="8" w:space="0" w:color="auto"/>
              <w:left w:val="double" w:sz="4" w:space="0" w:color="000000" w:themeColor="text1"/>
              <w:bottom w:val="single" w:sz="8" w:space="0" w:color="auto"/>
              <w:right w:val="single" w:sz="8" w:space="0" w:color="000000" w:themeColor="text1"/>
            </w:tcBorders>
            <w:tcMar>
              <w:left w:w="108" w:type="dxa"/>
              <w:right w:w="108" w:type="dxa"/>
            </w:tcMar>
            <w:vAlign w:val="center"/>
          </w:tcPr>
          <w:p w14:paraId="644C90FA" w14:textId="7A982B24" w:rsidR="58B7F4CC" w:rsidRDefault="58B7F4CC" w:rsidP="58B7F4CC">
            <w:pPr>
              <w:jc w:val="center"/>
            </w:pPr>
            <w:r w:rsidRPr="58B7F4CC">
              <w:rPr>
                <w:rFonts w:ascii="Aptos" w:eastAsia="Aptos" w:hAnsi="Aptos" w:cs="Aptos"/>
                <w:b/>
                <w:bCs/>
                <w:lang w:val="fr"/>
              </w:rPr>
              <w:t>Inscrits</w:t>
            </w:r>
          </w:p>
        </w:tc>
        <w:tc>
          <w:tcPr>
            <w:tcW w:w="1193" w:type="dxa"/>
            <w:tcBorders>
              <w:top w:val="nil"/>
              <w:left w:val="single" w:sz="8" w:space="0" w:color="auto"/>
              <w:bottom w:val="single" w:sz="8" w:space="0" w:color="auto"/>
              <w:right w:val="double" w:sz="4" w:space="0" w:color="000000" w:themeColor="text1"/>
            </w:tcBorders>
            <w:tcMar>
              <w:left w:w="108" w:type="dxa"/>
              <w:right w:w="108" w:type="dxa"/>
            </w:tcMar>
            <w:vAlign w:val="center"/>
          </w:tcPr>
          <w:p w14:paraId="42E6B2B1" w14:textId="0DF54364" w:rsidR="58B7F4CC" w:rsidRDefault="58B7F4CC" w:rsidP="58B7F4CC">
            <w:pPr>
              <w:jc w:val="center"/>
            </w:pPr>
            <w:r w:rsidRPr="58B7F4CC">
              <w:rPr>
                <w:rFonts w:ascii="Aptos" w:eastAsia="Aptos" w:hAnsi="Aptos" w:cs="Aptos"/>
                <w:b/>
                <w:bCs/>
                <w:lang w:val="fr"/>
              </w:rPr>
              <w:t>Évalués</w:t>
            </w:r>
          </w:p>
        </w:tc>
        <w:tc>
          <w:tcPr>
            <w:tcW w:w="86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2BC2AB8A" w14:textId="77747E70" w:rsidR="58B7F4CC" w:rsidRDefault="58B7F4CC" w:rsidP="58B7F4CC">
            <w:pPr>
              <w:jc w:val="center"/>
            </w:pPr>
            <w:r w:rsidRPr="58B7F4CC">
              <w:rPr>
                <w:rFonts w:ascii="Aptos" w:eastAsia="Aptos" w:hAnsi="Aptos" w:cs="Aptos"/>
                <w:b/>
                <w:bCs/>
                <w:lang w:val="fr"/>
              </w:rPr>
              <w:t>AII</w:t>
            </w:r>
          </w:p>
        </w:tc>
        <w:tc>
          <w:tcPr>
            <w:tcW w:w="990" w:type="dxa"/>
            <w:tcBorders>
              <w:top w:val="nil"/>
              <w:left w:val="single" w:sz="8" w:space="0" w:color="auto"/>
              <w:bottom w:val="single" w:sz="8" w:space="0" w:color="auto"/>
              <w:right w:val="single" w:sz="8" w:space="0" w:color="auto"/>
            </w:tcBorders>
            <w:tcMar>
              <w:left w:w="108" w:type="dxa"/>
              <w:right w:w="108" w:type="dxa"/>
            </w:tcMar>
            <w:vAlign w:val="center"/>
          </w:tcPr>
          <w:p w14:paraId="363806DE" w14:textId="1D51E955" w:rsidR="58B7F4CC" w:rsidRDefault="58B7F4CC" w:rsidP="58B7F4CC">
            <w:pPr>
              <w:jc w:val="center"/>
            </w:pPr>
            <w:r w:rsidRPr="58B7F4CC">
              <w:rPr>
                <w:rFonts w:ascii="Aptos" w:eastAsia="Aptos" w:hAnsi="Aptos" w:cs="Aptos"/>
                <w:b/>
                <w:bCs/>
                <w:lang w:val="fr"/>
              </w:rPr>
              <w:t>MHII</w:t>
            </w:r>
          </w:p>
        </w:tc>
        <w:tc>
          <w:tcPr>
            <w:tcW w:w="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3B62E2" w14:textId="31450404" w:rsidR="58B7F4CC" w:rsidRDefault="58B7F4CC" w:rsidP="58B7F4CC">
            <w:pPr>
              <w:jc w:val="center"/>
            </w:pPr>
            <w:r w:rsidRPr="58B7F4CC">
              <w:rPr>
                <w:rFonts w:ascii="Aptos" w:eastAsia="Aptos" w:hAnsi="Aptos" w:cs="Aptos"/>
                <w:b/>
                <w:bCs/>
                <w:lang w:val="fr"/>
              </w:rPr>
              <w:t>AII</w:t>
            </w:r>
          </w:p>
        </w:tc>
        <w:tc>
          <w:tcPr>
            <w:tcW w:w="810" w:type="dxa"/>
            <w:tcBorders>
              <w:top w:val="nil"/>
              <w:left w:val="single" w:sz="8" w:space="0" w:color="auto"/>
              <w:bottom w:val="single" w:sz="8" w:space="0" w:color="auto"/>
              <w:right w:val="single" w:sz="8" w:space="0" w:color="auto"/>
            </w:tcBorders>
            <w:tcMar>
              <w:left w:w="108" w:type="dxa"/>
              <w:right w:w="108" w:type="dxa"/>
            </w:tcMar>
            <w:vAlign w:val="center"/>
          </w:tcPr>
          <w:p w14:paraId="4353ABDC" w14:textId="567D14A7" w:rsidR="58B7F4CC" w:rsidRDefault="58B7F4CC" w:rsidP="58B7F4CC">
            <w:pPr>
              <w:jc w:val="center"/>
            </w:pPr>
            <w:r w:rsidRPr="58B7F4CC">
              <w:rPr>
                <w:rFonts w:ascii="Aptos" w:eastAsia="Aptos" w:hAnsi="Aptos" w:cs="Aptos"/>
                <w:b/>
                <w:bCs/>
                <w:lang w:val="fr"/>
              </w:rPr>
              <w:t>MHII</w:t>
            </w:r>
          </w:p>
        </w:tc>
        <w:tc>
          <w:tcPr>
            <w:tcW w:w="752"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47793FC9" w14:textId="356A4DB1" w:rsidR="58B7F4CC" w:rsidRDefault="58B7F4CC" w:rsidP="58B7F4CC">
            <w:pPr>
              <w:jc w:val="center"/>
            </w:pPr>
            <w:r w:rsidRPr="58B7F4CC">
              <w:rPr>
                <w:rFonts w:ascii="Aptos" w:eastAsia="Aptos" w:hAnsi="Aptos" w:cs="Aptos"/>
                <w:b/>
                <w:bCs/>
                <w:lang w:val="fr"/>
              </w:rPr>
              <w:t>AII</w:t>
            </w:r>
          </w:p>
        </w:tc>
        <w:tc>
          <w:tcPr>
            <w:tcW w:w="770" w:type="dxa"/>
            <w:tcBorders>
              <w:top w:val="nil"/>
              <w:left w:val="single" w:sz="8" w:space="0" w:color="auto"/>
              <w:bottom w:val="single" w:sz="8" w:space="0" w:color="auto"/>
              <w:right w:val="double" w:sz="4" w:space="0" w:color="000000" w:themeColor="text1"/>
            </w:tcBorders>
            <w:tcMar>
              <w:left w:w="108" w:type="dxa"/>
              <w:right w:w="108" w:type="dxa"/>
            </w:tcMar>
            <w:vAlign w:val="center"/>
          </w:tcPr>
          <w:p w14:paraId="05A82F2A" w14:textId="1227F3EC" w:rsidR="58B7F4CC" w:rsidRDefault="58B7F4CC" w:rsidP="58B7F4CC">
            <w:pPr>
              <w:jc w:val="center"/>
            </w:pPr>
            <w:r w:rsidRPr="58B7F4CC">
              <w:rPr>
                <w:rFonts w:ascii="Aptos" w:eastAsia="Aptos" w:hAnsi="Aptos" w:cs="Aptos"/>
                <w:b/>
                <w:bCs/>
                <w:lang w:val="fr"/>
              </w:rPr>
              <w:t>MHII</w:t>
            </w:r>
          </w:p>
        </w:tc>
        <w:tc>
          <w:tcPr>
            <w:tcW w:w="853" w:type="dxa"/>
            <w:tcBorders>
              <w:top w:val="single" w:sz="8" w:space="0" w:color="auto"/>
              <w:left w:val="double" w:sz="4" w:space="0" w:color="000000" w:themeColor="text1"/>
              <w:bottom w:val="double" w:sz="6" w:space="0" w:color="000000" w:themeColor="text1"/>
              <w:right w:val="single" w:sz="8" w:space="0" w:color="auto"/>
            </w:tcBorders>
            <w:tcMar>
              <w:left w:w="108" w:type="dxa"/>
              <w:right w:w="108" w:type="dxa"/>
            </w:tcMar>
            <w:vAlign w:val="center"/>
          </w:tcPr>
          <w:p w14:paraId="023D95C8" w14:textId="71D2064B" w:rsidR="58B7F4CC" w:rsidRDefault="58B7F4CC" w:rsidP="58B7F4CC">
            <w:pPr>
              <w:jc w:val="center"/>
            </w:pPr>
            <w:r w:rsidRPr="58B7F4CC">
              <w:rPr>
                <w:rFonts w:ascii="Aptos" w:eastAsia="Aptos" w:hAnsi="Aptos" w:cs="Aptos"/>
                <w:b/>
                <w:bCs/>
                <w:lang w:val="fr"/>
              </w:rPr>
              <w:t>AII</w:t>
            </w:r>
          </w:p>
        </w:tc>
        <w:tc>
          <w:tcPr>
            <w:tcW w:w="809" w:type="dxa"/>
            <w:tcBorders>
              <w:top w:val="nil"/>
              <w:left w:val="single" w:sz="8" w:space="0" w:color="auto"/>
              <w:bottom w:val="double" w:sz="6" w:space="0" w:color="000000" w:themeColor="text1"/>
              <w:right w:val="single" w:sz="8" w:space="0" w:color="auto"/>
            </w:tcBorders>
            <w:tcMar>
              <w:left w:w="108" w:type="dxa"/>
              <w:right w:w="108" w:type="dxa"/>
            </w:tcMar>
            <w:vAlign w:val="center"/>
          </w:tcPr>
          <w:p w14:paraId="3E48A51B" w14:textId="1B2B40CD" w:rsidR="58B7F4CC" w:rsidRDefault="58B7F4CC" w:rsidP="58B7F4CC">
            <w:pPr>
              <w:jc w:val="center"/>
            </w:pPr>
            <w:r w:rsidRPr="58B7F4CC">
              <w:rPr>
                <w:rFonts w:ascii="Aptos" w:eastAsia="Aptos" w:hAnsi="Aptos" w:cs="Aptos"/>
                <w:b/>
                <w:bCs/>
                <w:lang w:val="fr"/>
              </w:rPr>
              <w:t>MHII</w:t>
            </w:r>
          </w:p>
        </w:tc>
      </w:tr>
      <w:tr w:rsidR="58B7F4CC" w14:paraId="03F8760E"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3757DB70" w14:textId="2B379C51" w:rsidR="58B7F4CC" w:rsidRDefault="58B7F4CC" w:rsidP="58B7F4CC">
            <w:pPr>
              <w:jc w:val="center"/>
            </w:pPr>
            <w:r w:rsidRPr="58B7F4CC">
              <w:rPr>
                <w:rFonts w:ascii="Aptos" w:eastAsia="Aptos" w:hAnsi="Aptos" w:cs="Aptos"/>
                <w:b/>
                <w:bCs/>
                <w:lang w:val="fr"/>
              </w:rPr>
              <w:t>UMO n° 1</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4912EC82" w14:textId="7E1334A5" w:rsidR="58B7F4CC" w:rsidRDefault="58B7F4CC" w:rsidP="58B7F4CC">
            <w:pPr>
              <w:jc w:val="center"/>
            </w:pPr>
            <w:r w:rsidRPr="58B7F4CC">
              <w:rPr>
                <w:rFonts w:ascii="Aptos" w:eastAsia="Aptos" w:hAnsi="Aptos" w:cs="Aptos"/>
                <w:b/>
                <w:bC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46E6C01F" w14:textId="01B050CB" w:rsidR="58B7F4CC" w:rsidRDefault="58B7F4CC" w:rsidP="58B7F4CC">
            <w:pPr>
              <w:jc w:val="center"/>
            </w:pPr>
            <w:r w:rsidRPr="58B7F4CC">
              <w:rPr>
                <w:rFonts w:ascii="Aptos" w:eastAsia="Aptos" w:hAnsi="Aptos" w:cs="Aptos"/>
                <w:b/>
                <w:bCs/>
              </w:rPr>
              <w:t xml:space="preserve"> </w:t>
            </w:r>
          </w:p>
        </w:tc>
        <w:tc>
          <w:tcPr>
            <w:tcW w:w="862"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2D6A0B65" w14:textId="62BBDB00" w:rsidR="58B7F4CC" w:rsidRDefault="58B7F4CC" w:rsidP="58B7F4CC">
            <w:pPr>
              <w:jc w:val="center"/>
            </w:pPr>
            <w:r w:rsidRPr="58B7F4CC">
              <w:rPr>
                <w:rFonts w:ascii="Aptos" w:eastAsia="Aptos" w:hAnsi="Aptos" w:cs="Aptos"/>
                <w:b/>
                <w:bCs/>
              </w:rPr>
              <w:t xml:space="preserve"> </w:t>
            </w:r>
          </w:p>
        </w:tc>
        <w:tc>
          <w:tcPr>
            <w:tcW w:w="99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4477D760" w14:textId="48A3A668" w:rsidR="58B7F4CC" w:rsidRDefault="58B7F4CC" w:rsidP="58B7F4CC">
            <w:pPr>
              <w:jc w:val="center"/>
            </w:pPr>
            <w:r w:rsidRPr="58B7F4CC">
              <w:rPr>
                <w:rFonts w:ascii="Aptos" w:eastAsia="Aptos" w:hAnsi="Aptos" w:cs="Aptos"/>
                <w:b/>
                <w:bCs/>
              </w:rPr>
              <w:t xml:space="preserve"> </w:t>
            </w:r>
          </w:p>
        </w:tc>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71B7745C" w14:textId="6A9AE556" w:rsidR="58B7F4CC" w:rsidRDefault="58B7F4CC" w:rsidP="58B7F4CC">
            <w:pPr>
              <w:jc w:val="center"/>
            </w:pPr>
            <w:r w:rsidRPr="58B7F4CC">
              <w:rPr>
                <w:rFonts w:ascii="Aptos" w:eastAsia="Aptos" w:hAnsi="Aptos" w:cs="Aptos"/>
                <w:b/>
                <w:bCs/>
              </w:rPr>
              <w:t xml:space="preserve"> </w:t>
            </w:r>
          </w:p>
        </w:tc>
        <w:tc>
          <w:tcPr>
            <w:tcW w:w="81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140F5CFD" w14:textId="05523C45" w:rsidR="58B7F4CC" w:rsidRDefault="58B7F4CC" w:rsidP="58B7F4CC">
            <w:pPr>
              <w:jc w:val="center"/>
            </w:pPr>
            <w:r w:rsidRPr="58B7F4CC">
              <w:rPr>
                <w:rFonts w:ascii="Aptos" w:eastAsia="Aptos" w:hAnsi="Aptos" w:cs="Aptos"/>
                <w:b/>
                <w:bCs/>
              </w:rPr>
              <w:t xml:space="preserve"> </w:t>
            </w:r>
          </w:p>
        </w:tc>
        <w:tc>
          <w:tcPr>
            <w:tcW w:w="7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21007C2E" w14:textId="0780914C" w:rsidR="58B7F4CC" w:rsidRDefault="58B7F4CC" w:rsidP="58B7F4CC">
            <w:pPr>
              <w:jc w:val="center"/>
            </w:pPr>
            <w:r w:rsidRPr="58B7F4CC">
              <w:rPr>
                <w:rFonts w:ascii="Aptos" w:eastAsia="Aptos" w:hAnsi="Aptos" w:cs="Aptos"/>
                <w:b/>
                <w:bCs/>
              </w:rPr>
              <w:t xml:space="preserve"> </w:t>
            </w:r>
          </w:p>
        </w:tc>
        <w:tc>
          <w:tcPr>
            <w:tcW w:w="770" w:type="dxa"/>
            <w:tcBorders>
              <w:top w:val="single" w:sz="8" w:space="0" w:color="auto"/>
              <w:left w:val="single" w:sz="8" w:space="0" w:color="auto"/>
              <w:bottom w:val="single" w:sz="8" w:space="0" w:color="auto"/>
              <w:right w:val="double" w:sz="6" w:space="0" w:color="000000" w:themeColor="text1"/>
            </w:tcBorders>
            <w:shd w:val="clear" w:color="auto" w:fill="FFFFFF" w:themeFill="background1"/>
            <w:tcMar>
              <w:left w:w="108" w:type="dxa"/>
              <w:right w:w="108" w:type="dxa"/>
            </w:tcMar>
            <w:vAlign w:val="center"/>
          </w:tcPr>
          <w:p w14:paraId="646CBE84" w14:textId="630F3951" w:rsidR="58B7F4CC" w:rsidRDefault="58B7F4CC" w:rsidP="58B7F4CC">
            <w:pPr>
              <w:jc w:val="center"/>
            </w:pPr>
            <w:r w:rsidRPr="58B7F4CC">
              <w:rPr>
                <w:rFonts w:ascii="Aptos" w:eastAsia="Aptos" w:hAnsi="Aptos" w:cs="Aptos"/>
                <w:b/>
                <w:bCs/>
              </w:rPr>
              <w:t xml:space="preserve"> </w:t>
            </w:r>
          </w:p>
        </w:tc>
        <w:tc>
          <w:tcPr>
            <w:tcW w:w="853" w:type="dxa"/>
            <w:tcBorders>
              <w:top w:val="double" w:sz="6" w:space="0" w:color="000000" w:themeColor="text1"/>
              <w:left w:val="double" w:sz="6" w:space="0" w:color="000000" w:themeColor="text1"/>
              <w:bottom w:val="double" w:sz="6" w:space="0" w:color="000000" w:themeColor="text1"/>
              <w:right w:val="single" w:sz="8" w:space="0" w:color="auto"/>
            </w:tcBorders>
            <w:shd w:val="clear" w:color="auto" w:fill="FFFFFF" w:themeFill="background1"/>
            <w:tcMar>
              <w:left w:w="108" w:type="dxa"/>
              <w:right w:w="108" w:type="dxa"/>
            </w:tcMar>
            <w:vAlign w:val="center"/>
          </w:tcPr>
          <w:p w14:paraId="6BD8B547" w14:textId="464947C8" w:rsidR="58B7F4CC" w:rsidRDefault="58B7F4CC" w:rsidP="58B7F4CC">
            <w:pPr>
              <w:jc w:val="center"/>
            </w:pPr>
            <w:r w:rsidRPr="58B7F4CC">
              <w:rPr>
                <w:rFonts w:ascii="Aptos" w:eastAsia="Aptos" w:hAnsi="Aptos" w:cs="Aptos"/>
                <w:b/>
                <w:bCs/>
              </w:rPr>
              <w:t xml:space="preserve"> </w:t>
            </w:r>
          </w:p>
        </w:tc>
        <w:tc>
          <w:tcPr>
            <w:tcW w:w="809" w:type="dxa"/>
            <w:tcBorders>
              <w:top w:val="double" w:sz="6" w:space="0" w:color="000000" w:themeColor="text1"/>
              <w:left w:val="single" w:sz="8" w:space="0" w:color="auto"/>
              <w:bottom w:val="double" w:sz="6" w:space="0" w:color="000000" w:themeColor="text1"/>
              <w:right w:val="double" w:sz="6" w:space="0" w:color="000000" w:themeColor="text1"/>
            </w:tcBorders>
            <w:shd w:val="clear" w:color="auto" w:fill="FFFFFF" w:themeFill="background1"/>
            <w:tcMar>
              <w:left w:w="108" w:type="dxa"/>
              <w:right w:w="108" w:type="dxa"/>
            </w:tcMar>
            <w:vAlign w:val="center"/>
          </w:tcPr>
          <w:p w14:paraId="3E4F8911" w14:textId="50A7986E" w:rsidR="58B7F4CC" w:rsidRDefault="58B7F4CC" w:rsidP="58B7F4CC">
            <w:pPr>
              <w:jc w:val="center"/>
            </w:pPr>
            <w:r w:rsidRPr="58B7F4CC">
              <w:rPr>
                <w:rFonts w:ascii="Aptos" w:eastAsia="Aptos" w:hAnsi="Aptos" w:cs="Aptos"/>
                <w:b/>
                <w:bCs/>
              </w:rPr>
              <w:t xml:space="preserve"> </w:t>
            </w:r>
          </w:p>
        </w:tc>
      </w:tr>
      <w:tr w:rsidR="58B7F4CC" w14:paraId="1FDA2D4B"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2DD643A4" w14:textId="1C1E28C1" w:rsidR="58B7F4CC" w:rsidRDefault="58B7F4CC" w:rsidP="58B7F4CC">
            <w:pPr>
              <w:jc w:val="center"/>
            </w:pPr>
            <w:r w:rsidRPr="58B7F4CC">
              <w:rPr>
                <w:rFonts w:ascii="Aptos" w:eastAsia="Aptos" w:hAnsi="Aptos" w:cs="Aptos"/>
                <w:lang w:val="fr"/>
              </w:rPr>
              <w:t>Site 1</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6660CC7F" w14:textId="59F0E0B1" w:rsidR="58B7F4CC" w:rsidRDefault="58B7F4CC" w:rsidP="58B7F4CC">
            <w:pPr>
              <w:jc w:val="center"/>
            </w:pPr>
            <w:r w:rsidRPr="58B7F4CC">
              <w:rPr>
                <w:rFonts w:ascii="Aptos" w:eastAsia="Aptos" w:hAnsi="Aptos" w:cs="Apto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1C1A390A" w14:textId="05987689" w:rsidR="58B7F4CC" w:rsidRDefault="58B7F4CC" w:rsidP="58B7F4CC">
            <w:pPr>
              <w:jc w:val="center"/>
            </w:pPr>
            <w:r w:rsidRPr="58B7F4CC">
              <w:rPr>
                <w:rFonts w:ascii="Aptos" w:eastAsia="Aptos" w:hAnsi="Aptos" w:cs="Aptos"/>
              </w:rPr>
              <w:t xml:space="preserve"> </w:t>
            </w:r>
          </w:p>
        </w:tc>
        <w:tc>
          <w:tcPr>
            <w:tcW w:w="862"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03120E4D" w14:textId="27DE2246" w:rsidR="58B7F4CC" w:rsidRDefault="58B7F4CC" w:rsidP="58B7F4CC">
            <w:pPr>
              <w:jc w:val="center"/>
            </w:pPr>
            <w:r w:rsidRPr="58B7F4CC">
              <w:rPr>
                <w:rFonts w:ascii="Aptos" w:eastAsia="Aptos" w:hAnsi="Aptos" w:cs="Aptos"/>
              </w:rPr>
              <w:t xml:space="preserve"> </w:t>
            </w:r>
          </w:p>
        </w:tc>
        <w:tc>
          <w:tcPr>
            <w:tcW w:w="99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3A81132A" w14:textId="4B08CEC1" w:rsidR="58B7F4CC" w:rsidRDefault="58B7F4CC" w:rsidP="58B7F4CC">
            <w:pPr>
              <w:jc w:val="center"/>
            </w:pPr>
            <w:r w:rsidRPr="58B7F4CC">
              <w:rPr>
                <w:rFonts w:ascii="Aptos" w:eastAsia="Aptos" w:hAnsi="Aptos" w:cs="Aptos"/>
              </w:rPr>
              <w:t xml:space="preserve"> </w:t>
            </w:r>
          </w:p>
        </w:tc>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346A96ED" w14:textId="0AAAAAA7" w:rsidR="58B7F4CC" w:rsidRDefault="58B7F4CC" w:rsidP="58B7F4CC">
            <w:pPr>
              <w:jc w:val="center"/>
            </w:pPr>
            <w:r w:rsidRPr="58B7F4CC">
              <w:rPr>
                <w:rFonts w:ascii="Aptos" w:eastAsia="Aptos" w:hAnsi="Aptos" w:cs="Aptos"/>
              </w:rPr>
              <w:t xml:space="preserve"> </w:t>
            </w:r>
          </w:p>
        </w:tc>
        <w:tc>
          <w:tcPr>
            <w:tcW w:w="81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758595C7" w14:textId="2F3E4097" w:rsidR="58B7F4CC" w:rsidRDefault="58B7F4CC" w:rsidP="58B7F4CC">
            <w:pPr>
              <w:jc w:val="center"/>
            </w:pPr>
            <w:r w:rsidRPr="58B7F4CC">
              <w:rPr>
                <w:rFonts w:ascii="Aptos" w:eastAsia="Aptos" w:hAnsi="Aptos" w:cs="Aptos"/>
              </w:rPr>
              <w:t xml:space="preserve"> </w:t>
            </w:r>
          </w:p>
        </w:tc>
        <w:tc>
          <w:tcPr>
            <w:tcW w:w="7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13031586" w14:textId="4719EA08" w:rsidR="58B7F4CC" w:rsidRDefault="58B7F4CC" w:rsidP="58B7F4CC">
            <w:pPr>
              <w:jc w:val="center"/>
            </w:pPr>
            <w:r w:rsidRPr="58B7F4CC">
              <w:rPr>
                <w:rFonts w:ascii="Aptos" w:eastAsia="Aptos" w:hAnsi="Aptos" w:cs="Aptos"/>
              </w:rPr>
              <w:t xml:space="preserve"> </w:t>
            </w:r>
          </w:p>
        </w:tc>
        <w:tc>
          <w:tcPr>
            <w:tcW w:w="770" w:type="dxa"/>
            <w:tcBorders>
              <w:top w:val="single" w:sz="8" w:space="0" w:color="auto"/>
              <w:left w:val="single" w:sz="8" w:space="0" w:color="auto"/>
              <w:bottom w:val="single" w:sz="8" w:space="0" w:color="auto"/>
              <w:right w:val="double" w:sz="4" w:space="0" w:color="000000" w:themeColor="text1"/>
            </w:tcBorders>
            <w:shd w:val="clear" w:color="auto" w:fill="FFFFFF" w:themeFill="background1"/>
            <w:tcMar>
              <w:left w:w="108" w:type="dxa"/>
              <w:right w:w="108" w:type="dxa"/>
            </w:tcMar>
            <w:vAlign w:val="center"/>
          </w:tcPr>
          <w:p w14:paraId="64ED9BD3" w14:textId="3C222C5F" w:rsidR="58B7F4CC" w:rsidRDefault="58B7F4CC" w:rsidP="58B7F4CC">
            <w:pPr>
              <w:jc w:val="center"/>
            </w:pPr>
            <w:r w:rsidRPr="58B7F4CC">
              <w:rPr>
                <w:rFonts w:ascii="Aptos" w:eastAsia="Aptos" w:hAnsi="Aptos" w:cs="Aptos"/>
              </w:rPr>
              <w:t xml:space="preserve"> </w:t>
            </w:r>
          </w:p>
        </w:tc>
        <w:tc>
          <w:tcPr>
            <w:tcW w:w="853" w:type="dxa"/>
            <w:tcBorders>
              <w:top w:val="double" w:sz="6" w:space="0" w:color="000000" w:themeColor="text1"/>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65254613" w14:textId="52283EC1" w:rsidR="58B7F4CC" w:rsidRDefault="58B7F4CC" w:rsidP="58B7F4CC">
            <w:pPr>
              <w:jc w:val="center"/>
            </w:pPr>
            <w:r w:rsidRPr="58B7F4CC">
              <w:rPr>
                <w:rFonts w:ascii="Aptos" w:eastAsia="Aptos" w:hAnsi="Aptos" w:cs="Aptos"/>
              </w:rPr>
              <w:t xml:space="preserve"> </w:t>
            </w:r>
          </w:p>
        </w:tc>
        <w:tc>
          <w:tcPr>
            <w:tcW w:w="809" w:type="dxa"/>
            <w:tcBorders>
              <w:top w:val="double" w:sz="6" w:space="0" w:color="000000" w:themeColor="text1"/>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11A14CB5" w14:textId="2D2C68F7" w:rsidR="58B7F4CC" w:rsidRDefault="58B7F4CC" w:rsidP="58B7F4CC">
            <w:pPr>
              <w:jc w:val="center"/>
            </w:pPr>
            <w:r w:rsidRPr="58B7F4CC">
              <w:rPr>
                <w:rFonts w:ascii="Aptos" w:eastAsia="Aptos" w:hAnsi="Aptos" w:cs="Aptos"/>
              </w:rPr>
              <w:t xml:space="preserve"> </w:t>
            </w:r>
          </w:p>
        </w:tc>
      </w:tr>
      <w:tr w:rsidR="58B7F4CC" w14:paraId="745B99D1"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4DC7787E" w14:textId="17C71268" w:rsidR="58B7F4CC" w:rsidRDefault="58B7F4CC" w:rsidP="58B7F4CC">
            <w:pPr>
              <w:jc w:val="center"/>
            </w:pPr>
            <w:r w:rsidRPr="58B7F4CC">
              <w:rPr>
                <w:rFonts w:ascii="Aptos" w:eastAsia="Aptos" w:hAnsi="Aptos" w:cs="Aptos"/>
                <w:lang w:val="fr"/>
              </w:rPr>
              <w:t>Site 2</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58B4C4C2" w14:textId="4BED7B1B" w:rsidR="58B7F4CC" w:rsidRDefault="58B7F4CC" w:rsidP="58B7F4CC">
            <w:pPr>
              <w:jc w:val="center"/>
            </w:pPr>
            <w:r w:rsidRPr="58B7F4CC">
              <w:rPr>
                <w:rFonts w:ascii="Aptos" w:eastAsia="Aptos" w:hAnsi="Aptos" w:cs="Apto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4D94CAA" w14:textId="09723713" w:rsidR="58B7F4CC" w:rsidRDefault="58B7F4CC" w:rsidP="58B7F4CC">
            <w:pPr>
              <w:jc w:val="center"/>
            </w:pPr>
            <w:r w:rsidRPr="58B7F4CC">
              <w:rPr>
                <w:rFonts w:ascii="Aptos" w:eastAsia="Aptos" w:hAnsi="Aptos" w:cs="Aptos"/>
              </w:rPr>
              <w:t xml:space="preserve"> </w:t>
            </w:r>
          </w:p>
        </w:tc>
        <w:tc>
          <w:tcPr>
            <w:tcW w:w="862"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41CCE87A" w14:textId="57F2959F" w:rsidR="58B7F4CC" w:rsidRDefault="58B7F4CC" w:rsidP="58B7F4CC">
            <w:pPr>
              <w:jc w:val="center"/>
            </w:pPr>
            <w:r w:rsidRPr="58B7F4CC">
              <w:rPr>
                <w:rFonts w:ascii="Aptos" w:eastAsia="Aptos" w:hAnsi="Aptos" w:cs="Aptos"/>
              </w:rPr>
              <w:t xml:space="preserve"> </w:t>
            </w:r>
          </w:p>
        </w:tc>
        <w:tc>
          <w:tcPr>
            <w:tcW w:w="99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2CDD9F13" w14:textId="7F6A264B" w:rsidR="58B7F4CC" w:rsidRDefault="58B7F4CC" w:rsidP="58B7F4CC">
            <w:pPr>
              <w:jc w:val="center"/>
            </w:pPr>
            <w:r w:rsidRPr="58B7F4CC">
              <w:rPr>
                <w:rFonts w:ascii="Aptos" w:eastAsia="Aptos" w:hAnsi="Aptos" w:cs="Aptos"/>
              </w:rPr>
              <w:t xml:space="preserve"> </w:t>
            </w:r>
          </w:p>
        </w:tc>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5A3D6019" w14:textId="484FE749" w:rsidR="58B7F4CC" w:rsidRDefault="58B7F4CC" w:rsidP="58B7F4CC">
            <w:pPr>
              <w:jc w:val="center"/>
            </w:pPr>
            <w:r w:rsidRPr="58B7F4CC">
              <w:rPr>
                <w:rFonts w:ascii="Aptos" w:eastAsia="Aptos" w:hAnsi="Aptos" w:cs="Aptos"/>
              </w:rPr>
              <w:t xml:space="preserve"> </w:t>
            </w:r>
          </w:p>
        </w:tc>
        <w:tc>
          <w:tcPr>
            <w:tcW w:w="81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4B9C9087" w14:textId="3D2C6F4A" w:rsidR="58B7F4CC" w:rsidRDefault="58B7F4CC" w:rsidP="58B7F4CC">
            <w:pPr>
              <w:jc w:val="center"/>
            </w:pPr>
            <w:r w:rsidRPr="58B7F4CC">
              <w:rPr>
                <w:rFonts w:ascii="Aptos" w:eastAsia="Aptos" w:hAnsi="Aptos" w:cs="Aptos"/>
              </w:rPr>
              <w:t xml:space="preserve"> </w:t>
            </w:r>
          </w:p>
        </w:tc>
        <w:tc>
          <w:tcPr>
            <w:tcW w:w="7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3A7630B7" w14:textId="149EB0FF" w:rsidR="58B7F4CC" w:rsidRDefault="58B7F4CC" w:rsidP="58B7F4CC">
            <w:pPr>
              <w:jc w:val="center"/>
            </w:pPr>
            <w:r w:rsidRPr="58B7F4CC">
              <w:rPr>
                <w:rFonts w:ascii="Aptos" w:eastAsia="Aptos" w:hAnsi="Aptos" w:cs="Aptos"/>
              </w:rPr>
              <w:t xml:space="preserve"> </w:t>
            </w:r>
          </w:p>
        </w:tc>
        <w:tc>
          <w:tcPr>
            <w:tcW w:w="770" w:type="dxa"/>
            <w:tcBorders>
              <w:top w:val="single" w:sz="8" w:space="0" w:color="auto"/>
              <w:left w:val="single" w:sz="8" w:space="0" w:color="auto"/>
              <w:bottom w:val="single" w:sz="8" w:space="0" w:color="auto"/>
              <w:right w:val="double" w:sz="4" w:space="0" w:color="000000" w:themeColor="text1"/>
            </w:tcBorders>
            <w:shd w:val="clear" w:color="auto" w:fill="FFFFFF" w:themeFill="background1"/>
            <w:tcMar>
              <w:left w:w="108" w:type="dxa"/>
              <w:right w:w="108" w:type="dxa"/>
            </w:tcMar>
            <w:vAlign w:val="center"/>
          </w:tcPr>
          <w:p w14:paraId="4B57CBB9" w14:textId="5721320B" w:rsidR="58B7F4CC" w:rsidRDefault="58B7F4CC" w:rsidP="58B7F4CC">
            <w:pPr>
              <w:jc w:val="center"/>
            </w:pPr>
            <w:r w:rsidRPr="58B7F4CC">
              <w:rPr>
                <w:rFonts w:ascii="Aptos" w:eastAsia="Aptos" w:hAnsi="Aptos" w:cs="Aptos"/>
              </w:rPr>
              <w:t xml:space="preserve"> </w:t>
            </w:r>
          </w:p>
        </w:tc>
        <w:tc>
          <w:tcPr>
            <w:tcW w:w="853"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129A59D1" w14:textId="6DCBBFDA" w:rsidR="58B7F4CC" w:rsidRDefault="58B7F4CC" w:rsidP="58B7F4CC">
            <w:pPr>
              <w:jc w:val="center"/>
            </w:pPr>
            <w:r w:rsidRPr="58B7F4CC">
              <w:rPr>
                <w:rFonts w:ascii="Aptos" w:eastAsia="Aptos" w:hAnsi="Aptos" w:cs="Aptos"/>
              </w:rPr>
              <w:t xml:space="preserve"> </w:t>
            </w:r>
          </w:p>
        </w:tc>
        <w:tc>
          <w:tcPr>
            <w:tcW w:w="809"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2C3BA124" w14:textId="33A2F7C3" w:rsidR="58B7F4CC" w:rsidRDefault="58B7F4CC" w:rsidP="58B7F4CC">
            <w:pPr>
              <w:jc w:val="center"/>
            </w:pPr>
            <w:r w:rsidRPr="58B7F4CC">
              <w:rPr>
                <w:rFonts w:ascii="Aptos" w:eastAsia="Aptos" w:hAnsi="Aptos" w:cs="Aptos"/>
              </w:rPr>
              <w:t xml:space="preserve"> </w:t>
            </w:r>
          </w:p>
        </w:tc>
      </w:tr>
      <w:tr w:rsidR="58B7F4CC" w14:paraId="5F417C69"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61D89A97" w14:textId="41F7C54D" w:rsidR="58B7F4CC" w:rsidRDefault="58B7F4CC" w:rsidP="58B7F4CC">
            <w:pPr>
              <w:jc w:val="center"/>
            </w:pPr>
            <w:r w:rsidRPr="58B7F4CC">
              <w:rPr>
                <w:rFonts w:ascii="Aptos" w:eastAsia="Aptos" w:hAnsi="Aptos" w:cs="Aptos"/>
                <w:lang w:val="fr"/>
              </w:rPr>
              <w:t>…</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6D548CF1" w14:textId="75E61D54" w:rsidR="58B7F4CC" w:rsidRDefault="58B7F4CC" w:rsidP="58B7F4CC">
            <w:pPr>
              <w:jc w:val="center"/>
            </w:pPr>
            <w:r w:rsidRPr="58B7F4CC">
              <w:rPr>
                <w:rFonts w:ascii="Aptos" w:eastAsia="Aptos" w:hAnsi="Aptos" w:cs="Apto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07EFCFB3" w14:textId="43497136" w:rsidR="58B7F4CC" w:rsidRDefault="58B7F4CC" w:rsidP="58B7F4CC">
            <w:pPr>
              <w:jc w:val="center"/>
            </w:pPr>
            <w:r w:rsidRPr="58B7F4CC">
              <w:rPr>
                <w:rFonts w:ascii="Aptos" w:eastAsia="Aptos" w:hAnsi="Aptos" w:cs="Aptos"/>
              </w:rPr>
              <w:t xml:space="preserve"> </w:t>
            </w:r>
          </w:p>
        </w:tc>
        <w:tc>
          <w:tcPr>
            <w:tcW w:w="862"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040D589F" w14:textId="65733449" w:rsidR="58B7F4CC" w:rsidRDefault="58B7F4CC" w:rsidP="58B7F4CC">
            <w:pPr>
              <w:jc w:val="center"/>
            </w:pPr>
            <w:r w:rsidRPr="58B7F4CC">
              <w:rPr>
                <w:rFonts w:ascii="Aptos" w:eastAsia="Aptos" w:hAnsi="Aptos" w:cs="Aptos"/>
              </w:rPr>
              <w:t xml:space="preserve"> </w:t>
            </w:r>
          </w:p>
        </w:tc>
        <w:tc>
          <w:tcPr>
            <w:tcW w:w="99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407EE7F5" w14:textId="031FFE53" w:rsidR="58B7F4CC" w:rsidRDefault="58B7F4CC" w:rsidP="58B7F4CC">
            <w:pPr>
              <w:jc w:val="center"/>
            </w:pPr>
            <w:r w:rsidRPr="58B7F4CC">
              <w:rPr>
                <w:rFonts w:ascii="Aptos" w:eastAsia="Aptos" w:hAnsi="Aptos" w:cs="Aptos"/>
              </w:rPr>
              <w:t xml:space="preserve"> </w:t>
            </w:r>
          </w:p>
        </w:tc>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6DDDEA66" w14:textId="5371E5ED" w:rsidR="58B7F4CC" w:rsidRDefault="58B7F4CC" w:rsidP="58B7F4CC">
            <w:pPr>
              <w:jc w:val="center"/>
            </w:pPr>
            <w:r w:rsidRPr="58B7F4CC">
              <w:rPr>
                <w:rFonts w:ascii="Aptos" w:eastAsia="Aptos" w:hAnsi="Aptos" w:cs="Aptos"/>
              </w:rPr>
              <w:t xml:space="preserve"> </w:t>
            </w:r>
          </w:p>
        </w:tc>
        <w:tc>
          <w:tcPr>
            <w:tcW w:w="81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199B5B2E" w14:textId="0D3F8E98" w:rsidR="58B7F4CC" w:rsidRDefault="58B7F4CC" w:rsidP="58B7F4CC">
            <w:pPr>
              <w:jc w:val="center"/>
            </w:pPr>
            <w:r w:rsidRPr="58B7F4CC">
              <w:rPr>
                <w:rFonts w:ascii="Aptos" w:eastAsia="Aptos" w:hAnsi="Aptos" w:cs="Aptos"/>
              </w:rPr>
              <w:t xml:space="preserve"> </w:t>
            </w:r>
          </w:p>
        </w:tc>
        <w:tc>
          <w:tcPr>
            <w:tcW w:w="7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56F9D1C6" w14:textId="6432BBA9" w:rsidR="58B7F4CC" w:rsidRDefault="58B7F4CC" w:rsidP="58B7F4CC">
            <w:pPr>
              <w:jc w:val="center"/>
            </w:pPr>
            <w:r w:rsidRPr="58B7F4CC">
              <w:rPr>
                <w:rFonts w:ascii="Aptos" w:eastAsia="Aptos" w:hAnsi="Aptos" w:cs="Aptos"/>
              </w:rPr>
              <w:t xml:space="preserve"> </w:t>
            </w:r>
          </w:p>
        </w:tc>
        <w:tc>
          <w:tcPr>
            <w:tcW w:w="770" w:type="dxa"/>
            <w:tcBorders>
              <w:top w:val="single" w:sz="8" w:space="0" w:color="auto"/>
              <w:left w:val="single" w:sz="8" w:space="0" w:color="auto"/>
              <w:bottom w:val="single" w:sz="8" w:space="0" w:color="auto"/>
              <w:right w:val="double" w:sz="4" w:space="0" w:color="000000" w:themeColor="text1"/>
            </w:tcBorders>
            <w:shd w:val="clear" w:color="auto" w:fill="FFFFFF" w:themeFill="background1"/>
            <w:tcMar>
              <w:left w:w="108" w:type="dxa"/>
              <w:right w:w="108" w:type="dxa"/>
            </w:tcMar>
            <w:vAlign w:val="center"/>
          </w:tcPr>
          <w:p w14:paraId="7E339F9E" w14:textId="644811CB" w:rsidR="58B7F4CC" w:rsidRDefault="58B7F4CC" w:rsidP="58B7F4CC">
            <w:pPr>
              <w:jc w:val="center"/>
            </w:pPr>
            <w:r w:rsidRPr="58B7F4CC">
              <w:rPr>
                <w:rFonts w:ascii="Aptos" w:eastAsia="Aptos" w:hAnsi="Aptos" w:cs="Aptos"/>
              </w:rPr>
              <w:t xml:space="preserve"> </w:t>
            </w:r>
          </w:p>
        </w:tc>
        <w:tc>
          <w:tcPr>
            <w:tcW w:w="853"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7DBD8BF4" w14:textId="64F4769D" w:rsidR="58B7F4CC" w:rsidRDefault="58B7F4CC" w:rsidP="58B7F4CC">
            <w:pPr>
              <w:jc w:val="center"/>
            </w:pPr>
            <w:r w:rsidRPr="58B7F4CC">
              <w:rPr>
                <w:rFonts w:ascii="Aptos" w:eastAsia="Aptos" w:hAnsi="Aptos" w:cs="Aptos"/>
              </w:rPr>
              <w:t xml:space="preserve"> </w:t>
            </w:r>
          </w:p>
        </w:tc>
        <w:tc>
          <w:tcPr>
            <w:tcW w:w="809"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48E8740D" w14:textId="49D85E82" w:rsidR="58B7F4CC" w:rsidRDefault="58B7F4CC" w:rsidP="58B7F4CC">
            <w:pPr>
              <w:jc w:val="center"/>
            </w:pPr>
            <w:r w:rsidRPr="58B7F4CC">
              <w:rPr>
                <w:rFonts w:ascii="Aptos" w:eastAsia="Aptos" w:hAnsi="Aptos" w:cs="Aptos"/>
              </w:rPr>
              <w:t xml:space="preserve"> </w:t>
            </w:r>
          </w:p>
        </w:tc>
      </w:tr>
      <w:tr w:rsidR="58B7F4CC" w14:paraId="509066F7"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2DE4F4A2" w14:textId="5D1E2B75" w:rsidR="58B7F4CC" w:rsidRDefault="58B7F4CC" w:rsidP="58B7F4CC">
            <w:pPr>
              <w:jc w:val="center"/>
            </w:pPr>
            <w:r w:rsidRPr="58B7F4CC">
              <w:rPr>
                <w:rFonts w:ascii="Aptos" w:eastAsia="Aptos" w:hAnsi="Aptos" w:cs="Aptos"/>
                <w:lang w:val="fr"/>
              </w:rPr>
              <w:t>Site 15</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2D20598B" w14:textId="3D7A1364" w:rsidR="58B7F4CC" w:rsidRDefault="58B7F4CC" w:rsidP="58B7F4CC">
            <w:pPr>
              <w:jc w:val="center"/>
            </w:pPr>
            <w:r w:rsidRPr="58B7F4CC">
              <w:rPr>
                <w:rFonts w:ascii="Aptos" w:eastAsia="Aptos" w:hAnsi="Aptos" w:cs="Apto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54EC437C" w14:textId="7E92D9DA" w:rsidR="58B7F4CC" w:rsidRDefault="58B7F4CC" w:rsidP="58B7F4CC">
            <w:pPr>
              <w:jc w:val="center"/>
            </w:pPr>
            <w:r w:rsidRPr="58B7F4CC">
              <w:rPr>
                <w:rFonts w:ascii="Aptos" w:eastAsia="Aptos" w:hAnsi="Aptos" w:cs="Aptos"/>
              </w:rPr>
              <w:t xml:space="preserve"> </w:t>
            </w:r>
          </w:p>
        </w:tc>
        <w:tc>
          <w:tcPr>
            <w:tcW w:w="862"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0510E135" w14:textId="79F790D3" w:rsidR="58B7F4CC" w:rsidRDefault="58B7F4CC" w:rsidP="58B7F4CC">
            <w:pPr>
              <w:jc w:val="center"/>
            </w:pPr>
            <w:r w:rsidRPr="58B7F4CC">
              <w:rPr>
                <w:rFonts w:ascii="Aptos" w:eastAsia="Aptos" w:hAnsi="Aptos" w:cs="Aptos"/>
              </w:rPr>
              <w:t xml:space="preserve"> </w:t>
            </w:r>
          </w:p>
        </w:tc>
        <w:tc>
          <w:tcPr>
            <w:tcW w:w="99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4945026B" w14:textId="69085C61" w:rsidR="58B7F4CC" w:rsidRDefault="58B7F4CC" w:rsidP="58B7F4CC">
            <w:pPr>
              <w:jc w:val="center"/>
            </w:pPr>
            <w:r w:rsidRPr="58B7F4CC">
              <w:rPr>
                <w:rFonts w:ascii="Aptos" w:eastAsia="Aptos" w:hAnsi="Aptos" w:cs="Aptos"/>
              </w:rPr>
              <w:t xml:space="preserve"> </w:t>
            </w:r>
          </w:p>
        </w:tc>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1C7E78B3" w14:textId="0EFEA19E" w:rsidR="58B7F4CC" w:rsidRDefault="58B7F4CC" w:rsidP="58B7F4CC">
            <w:pPr>
              <w:jc w:val="center"/>
            </w:pPr>
            <w:r w:rsidRPr="58B7F4CC">
              <w:rPr>
                <w:rFonts w:ascii="Aptos" w:eastAsia="Aptos" w:hAnsi="Aptos" w:cs="Aptos"/>
              </w:rPr>
              <w:t xml:space="preserve"> </w:t>
            </w:r>
          </w:p>
        </w:tc>
        <w:tc>
          <w:tcPr>
            <w:tcW w:w="81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6D9C5344" w14:textId="20E76F8D" w:rsidR="58B7F4CC" w:rsidRDefault="58B7F4CC" w:rsidP="58B7F4CC">
            <w:pPr>
              <w:jc w:val="center"/>
            </w:pPr>
            <w:r w:rsidRPr="58B7F4CC">
              <w:rPr>
                <w:rFonts w:ascii="Aptos" w:eastAsia="Aptos" w:hAnsi="Aptos" w:cs="Aptos"/>
              </w:rPr>
              <w:t xml:space="preserve"> </w:t>
            </w:r>
          </w:p>
        </w:tc>
        <w:tc>
          <w:tcPr>
            <w:tcW w:w="7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344495B1" w14:textId="77D54A51" w:rsidR="58B7F4CC" w:rsidRDefault="58B7F4CC" w:rsidP="58B7F4CC">
            <w:pPr>
              <w:jc w:val="center"/>
            </w:pPr>
            <w:r w:rsidRPr="58B7F4CC">
              <w:rPr>
                <w:rFonts w:ascii="Aptos" w:eastAsia="Aptos" w:hAnsi="Aptos" w:cs="Aptos"/>
              </w:rPr>
              <w:t xml:space="preserve"> </w:t>
            </w:r>
          </w:p>
        </w:tc>
        <w:tc>
          <w:tcPr>
            <w:tcW w:w="770" w:type="dxa"/>
            <w:tcBorders>
              <w:top w:val="single" w:sz="8" w:space="0" w:color="auto"/>
              <w:left w:val="single" w:sz="8" w:space="0" w:color="auto"/>
              <w:bottom w:val="single" w:sz="8" w:space="0" w:color="auto"/>
              <w:right w:val="double" w:sz="4" w:space="0" w:color="000000" w:themeColor="text1"/>
            </w:tcBorders>
            <w:shd w:val="clear" w:color="auto" w:fill="FFFFFF" w:themeFill="background1"/>
            <w:tcMar>
              <w:left w:w="108" w:type="dxa"/>
              <w:right w:w="108" w:type="dxa"/>
            </w:tcMar>
            <w:vAlign w:val="center"/>
          </w:tcPr>
          <w:p w14:paraId="30889C9D" w14:textId="5ED03F31" w:rsidR="58B7F4CC" w:rsidRDefault="58B7F4CC" w:rsidP="58B7F4CC">
            <w:pPr>
              <w:jc w:val="center"/>
            </w:pPr>
            <w:r w:rsidRPr="58B7F4CC">
              <w:rPr>
                <w:rFonts w:ascii="Aptos" w:eastAsia="Aptos" w:hAnsi="Aptos" w:cs="Aptos"/>
              </w:rPr>
              <w:t xml:space="preserve"> </w:t>
            </w:r>
          </w:p>
        </w:tc>
        <w:tc>
          <w:tcPr>
            <w:tcW w:w="853" w:type="dxa"/>
            <w:tcBorders>
              <w:top w:val="single" w:sz="8" w:space="0" w:color="auto"/>
              <w:left w:val="double" w:sz="4" w:space="0" w:color="000000" w:themeColor="text1"/>
              <w:bottom w:val="double" w:sz="6" w:space="0" w:color="000000" w:themeColor="text1"/>
              <w:right w:val="single" w:sz="8" w:space="0" w:color="auto"/>
            </w:tcBorders>
            <w:shd w:val="clear" w:color="auto" w:fill="FFFFFF" w:themeFill="background1"/>
            <w:tcMar>
              <w:left w:w="108" w:type="dxa"/>
              <w:right w:w="108" w:type="dxa"/>
            </w:tcMar>
            <w:vAlign w:val="center"/>
          </w:tcPr>
          <w:p w14:paraId="1ED8C261" w14:textId="4FF659A7" w:rsidR="58B7F4CC" w:rsidRDefault="58B7F4CC" w:rsidP="58B7F4CC">
            <w:pPr>
              <w:jc w:val="center"/>
            </w:pPr>
            <w:r w:rsidRPr="58B7F4CC">
              <w:rPr>
                <w:rFonts w:ascii="Aptos" w:eastAsia="Aptos" w:hAnsi="Aptos" w:cs="Aptos"/>
              </w:rPr>
              <w:t xml:space="preserve"> </w:t>
            </w:r>
          </w:p>
        </w:tc>
        <w:tc>
          <w:tcPr>
            <w:tcW w:w="809" w:type="dxa"/>
            <w:tcBorders>
              <w:top w:val="single" w:sz="8" w:space="0" w:color="auto"/>
              <w:left w:val="single" w:sz="8" w:space="0" w:color="auto"/>
              <w:bottom w:val="double" w:sz="6" w:space="0" w:color="000000" w:themeColor="text1"/>
              <w:right w:val="single" w:sz="8" w:space="0" w:color="auto"/>
            </w:tcBorders>
            <w:shd w:val="clear" w:color="auto" w:fill="FFFFFF" w:themeFill="background1"/>
            <w:tcMar>
              <w:left w:w="108" w:type="dxa"/>
              <w:right w:w="108" w:type="dxa"/>
            </w:tcMar>
            <w:vAlign w:val="center"/>
          </w:tcPr>
          <w:p w14:paraId="7F99ADBC" w14:textId="4ECC669D" w:rsidR="58B7F4CC" w:rsidRDefault="58B7F4CC" w:rsidP="58B7F4CC">
            <w:pPr>
              <w:jc w:val="center"/>
            </w:pPr>
            <w:r w:rsidRPr="58B7F4CC">
              <w:rPr>
                <w:rFonts w:ascii="Aptos" w:eastAsia="Aptos" w:hAnsi="Aptos" w:cs="Aptos"/>
              </w:rPr>
              <w:t xml:space="preserve"> </w:t>
            </w:r>
          </w:p>
        </w:tc>
      </w:tr>
      <w:tr w:rsidR="58B7F4CC" w14:paraId="6B06E2C9"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944D468" w14:textId="250E444A" w:rsidR="58B7F4CC" w:rsidRDefault="58B7F4CC" w:rsidP="58B7F4CC">
            <w:pPr>
              <w:jc w:val="center"/>
            </w:pPr>
            <w:r w:rsidRPr="58B7F4CC">
              <w:rPr>
                <w:rFonts w:ascii="Aptos" w:eastAsia="Aptos" w:hAnsi="Aptos" w:cs="Aptos"/>
                <w:b/>
                <w:bCs/>
                <w:lang w:val="fr"/>
              </w:rPr>
              <w:t>UMO n° 2</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6AC85F08" w14:textId="71AD4BB1" w:rsidR="58B7F4CC" w:rsidRDefault="58B7F4CC" w:rsidP="58B7F4CC">
            <w:pPr>
              <w:jc w:val="center"/>
            </w:pPr>
            <w:r w:rsidRPr="58B7F4CC">
              <w:rPr>
                <w:rFonts w:ascii="Aptos" w:eastAsia="Aptos" w:hAnsi="Aptos" w:cs="Aptos"/>
                <w:b/>
                <w:bC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24159360" w14:textId="2B07B417" w:rsidR="58B7F4CC" w:rsidRDefault="58B7F4CC" w:rsidP="58B7F4CC">
            <w:pPr>
              <w:jc w:val="center"/>
            </w:pPr>
            <w:r w:rsidRPr="58B7F4CC">
              <w:rPr>
                <w:rFonts w:ascii="Aptos" w:eastAsia="Aptos" w:hAnsi="Aptos" w:cs="Aptos"/>
                <w:b/>
                <w:bCs/>
              </w:rPr>
              <w:t xml:space="preserve"> </w:t>
            </w:r>
          </w:p>
        </w:tc>
        <w:tc>
          <w:tcPr>
            <w:tcW w:w="862"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0579AE01" w14:textId="03E1D717" w:rsidR="58B7F4CC" w:rsidRDefault="58B7F4CC" w:rsidP="58B7F4CC">
            <w:pPr>
              <w:jc w:val="center"/>
            </w:pPr>
            <w:r w:rsidRPr="58B7F4CC">
              <w:rPr>
                <w:rFonts w:ascii="Aptos" w:eastAsia="Aptos" w:hAnsi="Aptos" w:cs="Aptos"/>
                <w:b/>
                <w:bCs/>
              </w:rPr>
              <w:t xml:space="preserve"> </w:t>
            </w:r>
          </w:p>
        </w:tc>
        <w:tc>
          <w:tcPr>
            <w:tcW w:w="99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6F1E8663" w14:textId="650ADA4A" w:rsidR="58B7F4CC" w:rsidRDefault="58B7F4CC" w:rsidP="58B7F4CC">
            <w:pPr>
              <w:jc w:val="center"/>
            </w:pPr>
            <w:r w:rsidRPr="58B7F4CC">
              <w:rPr>
                <w:rFonts w:ascii="Aptos" w:eastAsia="Aptos" w:hAnsi="Aptos" w:cs="Aptos"/>
                <w:b/>
                <w:bCs/>
              </w:rPr>
              <w:t xml:space="preserve"> </w:t>
            </w:r>
          </w:p>
        </w:tc>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26E08CE2" w14:textId="15885BC6" w:rsidR="58B7F4CC" w:rsidRDefault="58B7F4CC" w:rsidP="58B7F4CC">
            <w:pPr>
              <w:jc w:val="center"/>
            </w:pPr>
            <w:r w:rsidRPr="58B7F4CC">
              <w:rPr>
                <w:rFonts w:ascii="Aptos" w:eastAsia="Aptos" w:hAnsi="Aptos" w:cs="Aptos"/>
                <w:b/>
                <w:bCs/>
              </w:rPr>
              <w:t xml:space="preserve"> </w:t>
            </w:r>
          </w:p>
        </w:tc>
        <w:tc>
          <w:tcPr>
            <w:tcW w:w="81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5D95392C" w14:textId="564A4B0E" w:rsidR="58B7F4CC" w:rsidRDefault="58B7F4CC" w:rsidP="58B7F4CC">
            <w:pPr>
              <w:jc w:val="center"/>
            </w:pPr>
            <w:r w:rsidRPr="58B7F4CC">
              <w:rPr>
                <w:rFonts w:ascii="Aptos" w:eastAsia="Aptos" w:hAnsi="Aptos" w:cs="Aptos"/>
                <w:b/>
                <w:bCs/>
              </w:rPr>
              <w:t xml:space="preserve"> </w:t>
            </w:r>
          </w:p>
        </w:tc>
        <w:tc>
          <w:tcPr>
            <w:tcW w:w="752"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7F7FE18C" w14:textId="5B9A6D29" w:rsidR="58B7F4CC" w:rsidRDefault="58B7F4CC" w:rsidP="58B7F4CC">
            <w:pPr>
              <w:jc w:val="center"/>
            </w:pPr>
            <w:r w:rsidRPr="58B7F4CC">
              <w:rPr>
                <w:rFonts w:ascii="Aptos" w:eastAsia="Aptos" w:hAnsi="Aptos" w:cs="Aptos"/>
                <w:b/>
                <w:bCs/>
              </w:rPr>
              <w:t xml:space="preserve"> </w:t>
            </w:r>
          </w:p>
        </w:tc>
        <w:tc>
          <w:tcPr>
            <w:tcW w:w="770" w:type="dxa"/>
            <w:tcBorders>
              <w:top w:val="single" w:sz="8" w:space="0" w:color="auto"/>
              <w:left w:val="single" w:sz="8" w:space="0" w:color="auto"/>
              <w:bottom w:val="single" w:sz="8" w:space="0" w:color="auto"/>
              <w:right w:val="double" w:sz="6" w:space="0" w:color="000000" w:themeColor="text1"/>
            </w:tcBorders>
            <w:shd w:val="clear" w:color="auto" w:fill="FFFFFF" w:themeFill="background1"/>
            <w:tcMar>
              <w:left w:w="108" w:type="dxa"/>
              <w:right w:w="108" w:type="dxa"/>
            </w:tcMar>
            <w:vAlign w:val="center"/>
          </w:tcPr>
          <w:p w14:paraId="40F64E2A" w14:textId="61CE7993" w:rsidR="58B7F4CC" w:rsidRDefault="58B7F4CC" w:rsidP="58B7F4CC">
            <w:pPr>
              <w:jc w:val="center"/>
            </w:pPr>
            <w:r w:rsidRPr="58B7F4CC">
              <w:rPr>
                <w:rFonts w:ascii="Aptos" w:eastAsia="Aptos" w:hAnsi="Aptos" w:cs="Aptos"/>
                <w:b/>
                <w:bCs/>
              </w:rPr>
              <w:t xml:space="preserve"> </w:t>
            </w:r>
          </w:p>
        </w:tc>
        <w:tc>
          <w:tcPr>
            <w:tcW w:w="853" w:type="dxa"/>
            <w:tcBorders>
              <w:top w:val="double" w:sz="6" w:space="0" w:color="000000" w:themeColor="text1"/>
              <w:left w:val="double" w:sz="6" w:space="0" w:color="000000" w:themeColor="text1"/>
              <w:bottom w:val="double" w:sz="6" w:space="0" w:color="000000" w:themeColor="text1"/>
              <w:right w:val="single" w:sz="8" w:space="0" w:color="auto"/>
            </w:tcBorders>
            <w:shd w:val="clear" w:color="auto" w:fill="FFFFFF" w:themeFill="background1"/>
            <w:tcMar>
              <w:left w:w="108" w:type="dxa"/>
              <w:right w:w="108" w:type="dxa"/>
            </w:tcMar>
            <w:vAlign w:val="center"/>
          </w:tcPr>
          <w:p w14:paraId="06691C19" w14:textId="0EACE556" w:rsidR="58B7F4CC" w:rsidRDefault="58B7F4CC" w:rsidP="58B7F4CC">
            <w:pPr>
              <w:jc w:val="center"/>
            </w:pPr>
            <w:r w:rsidRPr="58B7F4CC">
              <w:rPr>
                <w:rFonts w:ascii="Aptos" w:eastAsia="Aptos" w:hAnsi="Aptos" w:cs="Aptos"/>
                <w:b/>
                <w:bCs/>
              </w:rPr>
              <w:t xml:space="preserve"> </w:t>
            </w:r>
          </w:p>
        </w:tc>
        <w:tc>
          <w:tcPr>
            <w:tcW w:w="809" w:type="dxa"/>
            <w:tcBorders>
              <w:top w:val="double" w:sz="6" w:space="0" w:color="000000" w:themeColor="text1"/>
              <w:left w:val="single" w:sz="8" w:space="0" w:color="auto"/>
              <w:bottom w:val="double" w:sz="6" w:space="0" w:color="000000" w:themeColor="text1"/>
              <w:right w:val="double" w:sz="6" w:space="0" w:color="000000" w:themeColor="text1"/>
            </w:tcBorders>
            <w:shd w:val="clear" w:color="auto" w:fill="FFFFFF" w:themeFill="background1"/>
            <w:tcMar>
              <w:left w:w="108" w:type="dxa"/>
              <w:right w:w="108" w:type="dxa"/>
            </w:tcMar>
            <w:vAlign w:val="center"/>
          </w:tcPr>
          <w:p w14:paraId="3C9B73CD" w14:textId="64B80FEC" w:rsidR="58B7F4CC" w:rsidRDefault="58B7F4CC" w:rsidP="58B7F4CC">
            <w:pPr>
              <w:jc w:val="center"/>
            </w:pPr>
            <w:r w:rsidRPr="58B7F4CC">
              <w:rPr>
                <w:rFonts w:ascii="Aptos" w:eastAsia="Aptos" w:hAnsi="Aptos" w:cs="Aptos"/>
                <w:b/>
                <w:bCs/>
              </w:rPr>
              <w:t xml:space="preserve"> </w:t>
            </w:r>
          </w:p>
        </w:tc>
      </w:tr>
      <w:tr w:rsidR="58B7F4CC" w14:paraId="39CB5705"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309F1ECE" w14:textId="743459D2" w:rsidR="58B7F4CC" w:rsidRDefault="58B7F4CC" w:rsidP="58B7F4CC">
            <w:pPr>
              <w:jc w:val="center"/>
            </w:pPr>
            <w:r w:rsidRPr="58B7F4CC">
              <w:rPr>
                <w:rFonts w:ascii="Aptos" w:eastAsia="Aptos" w:hAnsi="Aptos" w:cs="Aptos"/>
                <w:lang w:val="fr"/>
              </w:rPr>
              <w:t>Site 1</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20254ADD" w14:textId="5D135274" w:rsidR="58B7F4CC" w:rsidRDefault="58B7F4CC" w:rsidP="58B7F4CC">
            <w:pPr>
              <w:jc w:val="center"/>
            </w:pPr>
            <w:r w:rsidRPr="58B7F4CC">
              <w:rPr>
                <w:rFonts w:ascii="Aptos" w:eastAsia="Aptos" w:hAnsi="Aptos" w:cs="Apto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429FB409" w14:textId="660B5F01" w:rsidR="58B7F4CC" w:rsidRDefault="58B7F4CC" w:rsidP="58B7F4CC">
            <w:pPr>
              <w:jc w:val="center"/>
            </w:pPr>
            <w:r w:rsidRPr="58B7F4CC">
              <w:rPr>
                <w:rFonts w:ascii="Aptos" w:eastAsia="Aptos" w:hAnsi="Aptos" w:cs="Aptos"/>
              </w:rPr>
              <w:t xml:space="preserve"> </w:t>
            </w:r>
          </w:p>
        </w:tc>
        <w:tc>
          <w:tcPr>
            <w:tcW w:w="86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7E9556D3" w14:textId="796B968F" w:rsidR="58B7F4CC" w:rsidRDefault="58B7F4CC" w:rsidP="58B7F4CC">
            <w:pPr>
              <w:jc w:val="center"/>
            </w:pPr>
            <w:r w:rsidRPr="58B7F4CC">
              <w:rPr>
                <w:rFonts w:ascii="Aptos" w:eastAsia="Aptos" w:hAnsi="Aptos" w:cs="Aptos"/>
              </w:rPr>
              <w:t xml:space="preserve"> </w:t>
            </w:r>
          </w:p>
        </w:tc>
        <w:tc>
          <w:tcPr>
            <w:tcW w:w="9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D09299C" w14:textId="3933D9FA" w:rsidR="58B7F4CC" w:rsidRDefault="58B7F4CC" w:rsidP="58B7F4CC">
            <w:pPr>
              <w:jc w:val="center"/>
            </w:pPr>
            <w:r w:rsidRPr="58B7F4CC">
              <w:rPr>
                <w:rFonts w:ascii="Aptos" w:eastAsia="Aptos" w:hAnsi="Aptos" w:cs="Aptos"/>
              </w:rPr>
              <w:t xml:space="preserve"> </w:t>
            </w:r>
          </w:p>
        </w:tc>
        <w:tc>
          <w:tcPr>
            <w:tcW w:w="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0D948E" w14:textId="6D54C027" w:rsidR="58B7F4CC" w:rsidRDefault="58B7F4CC" w:rsidP="58B7F4CC">
            <w:pPr>
              <w:jc w:val="center"/>
            </w:pPr>
            <w:r w:rsidRPr="58B7F4CC">
              <w:rPr>
                <w:rFonts w:ascii="Aptos" w:eastAsia="Aptos" w:hAnsi="Aptos" w:cs="Aptos"/>
              </w:rPr>
              <w:t xml:space="preserve"> </w:t>
            </w:r>
          </w:p>
        </w:tc>
        <w:tc>
          <w:tcPr>
            <w:tcW w:w="8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8F9A84" w14:textId="414E45BE" w:rsidR="58B7F4CC" w:rsidRDefault="58B7F4CC" w:rsidP="58B7F4CC">
            <w:pPr>
              <w:jc w:val="center"/>
            </w:pPr>
            <w:r w:rsidRPr="58B7F4CC">
              <w:rPr>
                <w:rFonts w:ascii="Aptos" w:eastAsia="Aptos" w:hAnsi="Aptos" w:cs="Aptos"/>
              </w:rPr>
              <w:t xml:space="preserve"> </w:t>
            </w:r>
          </w:p>
        </w:tc>
        <w:tc>
          <w:tcPr>
            <w:tcW w:w="7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1A3B7F" w14:textId="5FC94EA1" w:rsidR="58B7F4CC" w:rsidRDefault="58B7F4CC" w:rsidP="58B7F4CC">
            <w:pPr>
              <w:jc w:val="center"/>
            </w:pPr>
            <w:r w:rsidRPr="58B7F4CC">
              <w:rPr>
                <w:rFonts w:ascii="Aptos" w:eastAsia="Aptos" w:hAnsi="Aptos" w:cs="Aptos"/>
              </w:rPr>
              <w:t xml:space="preserve"> </w:t>
            </w:r>
          </w:p>
        </w:tc>
        <w:tc>
          <w:tcPr>
            <w:tcW w:w="770"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0FD2AF8A" w14:textId="66755D47" w:rsidR="58B7F4CC" w:rsidRDefault="58B7F4CC" w:rsidP="58B7F4CC">
            <w:pPr>
              <w:jc w:val="center"/>
            </w:pPr>
            <w:r w:rsidRPr="58B7F4CC">
              <w:rPr>
                <w:rFonts w:ascii="Aptos" w:eastAsia="Aptos" w:hAnsi="Aptos" w:cs="Aptos"/>
              </w:rPr>
              <w:t xml:space="preserve"> </w:t>
            </w:r>
          </w:p>
        </w:tc>
        <w:tc>
          <w:tcPr>
            <w:tcW w:w="853" w:type="dxa"/>
            <w:tcBorders>
              <w:top w:val="double" w:sz="6" w:space="0" w:color="000000" w:themeColor="text1"/>
              <w:left w:val="double" w:sz="4" w:space="0" w:color="000000" w:themeColor="text1"/>
              <w:bottom w:val="single" w:sz="8" w:space="0" w:color="auto"/>
              <w:right w:val="single" w:sz="8" w:space="0" w:color="auto"/>
            </w:tcBorders>
            <w:tcMar>
              <w:left w:w="108" w:type="dxa"/>
              <w:right w:w="108" w:type="dxa"/>
            </w:tcMar>
            <w:vAlign w:val="center"/>
          </w:tcPr>
          <w:p w14:paraId="151C21AC" w14:textId="32CAFF33" w:rsidR="58B7F4CC" w:rsidRDefault="58B7F4CC" w:rsidP="58B7F4CC">
            <w:pPr>
              <w:jc w:val="center"/>
            </w:pPr>
            <w:r w:rsidRPr="58B7F4CC">
              <w:rPr>
                <w:rFonts w:ascii="Aptos" w:eastAsia="Aptos" w:hAnsi="Aptos" w:cs="Aptos"/>
              </w:rPr>
              <w:t xml:space="preserve"> </w:t>
            </w:r>
          </w:p>
        </w:tc>
        <w:tc>
          <w:tcPr>
            <w:tcW w:w="809" w:type="dxa"/>
            <w:tcBorders>
              <w:top w:val="double" w:sz="6" w:space="0" w:color="000000" w:themeColor="text1"/>
              <w:left w:val="single" w:sz="8" w:space="0" w:color="auto"/>
              <w:bottom w:val="single" w:sz="8" w:space="0" w:color="auto"/>
              <w:right w:val="single" w:sz="8" w:space="0" w:color="auto"/>
            </w:tcBorders>
            <w:tcMar>
              <w:left w:w="108" w:type="dxa"/>
              <w:right w:w="108" w:type="dxa"/>
            </w:tcMar>
            <w:vAlign w:val="center"/>
          </w:tcPr>
          <w:p w14:paraId="6C9A9075" w14:textId="328F4C76" w:rsidR="58B7F4CC" w:rsidRDefault="58B7F4CC" w:rsidP="58B7F4CC">
            <w:pPr>
              <w:jc w:val="center"/>
            </w:pPr>
            <w:r w:rsidRPr="58B7F4CC">
              <w:rPr>
                <w:rFonts w:ascii="Aptos" w:eastAsia="Aptos" w:hAnsi="Aptos" w:cs="Aptos"/>
              </w:rPr>
              <w:t xml:space="preserve"> </w:t>
            </w:r>
          </w:p>
        </w:tc>
      </w:tr>
      <w:tr w:rsidR="58B7F4CC" w14:paraId="65402E6F"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31628721" w14:textId="3BCAB1F3" w:rsidR="58B7F4CC" w:rsidRDefault="58B7F4CC" w:rsidP="58B7F4CC">
            <w:pPr>
              <w:jc w:val="center"/>
            </w:pPr>
            <w:r w:rsidRPr="58B7F4CC">
              <w:rPr>
                <w:rFonts w:ascii="Aptos" w:eastAsia="Aptos" w:hAnsi="Aptos" w:cs="Aptos"/>
                <w:lang w:val="fr"/>
              </w:rPr>
              <w:t>Site 2</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1DC38EE3" w14:textId="3179EFB2" w:rsidR="58B7F4CC" w:rsidRDefault="58B7F4CC" w:rsidP="58B7F4CC">
            <w:pPr>
              <w:jc w:val="center"/>
            </w:pPr>
            <w:r w:rsidRPr="58B7F4CC">
              <w:rPr>
                <w:rFonts w:ascii="Aptos" w:eastAsia="Aptos" w:hAnsi="Aptos" w:cs="Apto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319BF06C" w14:textId="07A063F5" w:rsidR="58B7F4CC" w:rsidRDefault="58B7F4CC" w:rsidP="58B7F4CC">
            <w:pPr>
              <w:jc w:val="center"/>
            </w:pPr>
            <w:r w:rsidRPr="58B7F4CC">
              <w:rPr>
                <w:rFonts w:ascii="Aptos" w:eastAsia="Aptos" w:hAnsi="Aptos" w:cs="Aptos"/>
              </w:rPr>
              <w:t xml:space="preserve"> </w:t>
            </w:r>
          </w:p>
        </w:tc>
        <w:tc>
          <w:tcPr>
            <w:tcW w:w="86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47244662" w14:textId="64862041" w:rsidR="58B7F4CC" w:rsidRDefault="58B7F4CC" w:rsidP="58B7F4CC">
            <w:pPr>
              <w:jc w:val="center"/>
            </w:pPr>
            <w:r w:rsidRPr="58B7F4CC">
              <w:rPr>
                <w:rFonts w:ascii="Aptos" w:eastAsia="Aptos" w:hAnsi="Aptos" w:cs="Aptos"/>
              </w:rPr>
              <w:t xml:space="preserve"> </w:t>
            </w:r>
          </w:p>
        </w:tc>
        <w:tc>
          <w:tcPr>
            <w:tcW w:w="9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49D79A" w14:textId="1B1A147F" w:rsidR="58B7F4CC" w:rsidRDefault="58B7F4CC" w:rsidP="58B7F4CC">
            <w:pPr>
              <w:jc w:val="center"/>
            </w:pPr>
            <w:r w:rsidRPr="58B7F4CC">
              <w:rPr>
                <w:rFonts w:ascii="Aptos" w:eastAsia="Aptos" w:hAnsi="Aptos" w:cs="Aptos"/>
              </w:rPr>
              <w:t xml:space="preserve"> </w:t>
            </w:r>
          </w:p>
        </w:tc>
        <w:tc>
          <w:tcPr>
            <w:tcW w:w="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31A737" w14:textId="7D213ED4" w:rsidR="58B7F4CC" w:rsidRDefault="58B7F4CC" w:rsidP="58B7F4CC">
            <w:pPr>
              <w:jc w:val="center"/>
            </w:pPr>
            <w:r w:rsidRPr="58B7F4CC">
              <w:rPr>
                <w:rFonts w:ascii="Aptos" w:eastAsia="Aptos" w:hAnsi="Aptos" w:cs="Aptos"/>
              </w:rPr>
              <w:t xml:space="preserve"> </w:t>
            </w:r>
          </w:p>
        </w:tc>
        <w:tc>
          <w:tcPr>
            <w:tcW w:w="8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BADB8E" w14:textId="36BFED99" w:rsidR="58B7F4CC" w:rsidRDefault="58B7F4CC" w:rsidP="58B7F4CC">
            <w:pPr>
              <w:jc w:val="center"/>
            </w:pPr>
            <w:r w:rsidRPr="58B7F4CC">
              <w:rPr>
                <w:rFonts w:ascii="Aptos" w:eastAsia="Aptos" w:hAnsi="Aptos" w:cs="Aptos"/>
              </w:rPr>
              <w:t xml:space="preserve"> </w:t>
            </w:r>
          </w:p>
        </w:tc>
        <w:tc>
          <w:tcPr>
            <w:tcW w:w="7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202991" w14:textId="3CFDED7E" w:rsidR="58B7F4CC" w:rsidRDefault="58B7F4CC" w:rsidP="58B7F4CC">
            <w:pPr>
              <w:jc w:val="center"/>
            </w:pPr>
            <w:r w:rsidRPr="58B7F4CC">
              <w:rPr>
                <w:rFonts w:ascii="Aptos" w:eastAsia="Aptos" w:hAnsi="Aptos" w:cs="Aptos"/>
              </w:rPr>
              <w:t xml:space="preserve"> </w:t>
            </w:r>
          </w:p>
        </w:tc>
        <w:tc>
          <w:tcPr>
            <w:tcW w:w="770"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40489F47" w14:textId="55D1C11C" w:rsidR="58B7F4CC" w:rsidRDefault="58B7F4CC" w:rsidP="58B7F4CC">
            <w:pPr>
              <w:jc w:val="center"/>
            </w:pPr>
            <w:r w:rsidRPr="58B7F4CC">
              <w:rPr>
                <w:rFonts w:ascii="Aptos" w:eastAsia="Aptos" w:hAnsi="Aptos" w:cs="Aptos"/>
              </w:rPr>
              <w:t xml:space="preserve"> </w:t>
            </w:r>
          </w:p>
        </w:tc>
        <w:tc>
          <w:tcPr>
            <w:tcW w:w="853"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54D2E1F3" w14:textId="3AF68D25" w:rsidR="58B7F4CC" w:rsidRDefault="58B7F4CC" w:rsidP="58B7F4CC">
            <w:pPr>
              <w:jc w:val="center"/>
            </w:pPr>
            <w:r w:rsidRPr="58B7F4CC">
              <w:rPr>
                <w:rFonts w:ascii="Aptos" w:eastAsia="Aptos" w:hAnsi="Aptos" w:cs="Aptos"/>
              </w:rPr>
              <w:t xml:space="preserve"> </w:t>
            </w:r>
          </w:p>
        </w:tc>
        <w:tc>
          <w:tcPr>
            <w:tcW w:w="80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F1C548" w14:textId="4A263E26" w:rsidR="58B7F4CC" w:rsidRDefault="58B7F4CC" w:rsidP="58B7F4CC">
            <w:pPr>
              <w:jc w:val="center"/>
            </w:pPr>
            <w:r w:rsidRPr="58B7F4CC">
              <w:rPr>
                <w:rFonts w:ascii="Aptos" w:eastAsia="Aptos" w:hAnsi="Aptos" w:cs="Aptos"/>
              </w:rPr>
              <w:t xml:space="preserve"> </w:t>
            </w:r>
          </w:p>
        </w:tc>
      </w:tr>
      <w:tr w:rsidR="58B7F4CC" w14:paraId="5A25830D"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86551F6" w14:textId="0FDFA902" w:rsidR="58B7F4CC" w:rsidRDefault="58B7F4CC" w:rsidP="58B7F4CC">
            <w:pPr>
              <w:jc w:val="center"/>
            </w:pPr>
            <w:r w:rsidRPr="58B7F4CC">
              <w:rPr>
                <w:rFonts w:ascii="Aptos" w:eastAsia="Aptos" w:hAnsi="Aptos" w:cs="Aptos"/>
                <w:lang w:val="fr"/>
              </w:rPr>
              <w:t>…</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76BC7DF8" w14:textId="4560B0ED" w:rsidR="58B7F4CC" w:rsidRDefault="58B7F4CC" w:rsidP="58B7F4CC">
            <w:pPr>
              <w:jc w:val="center"/>
            </w:pPr>
            <w:r w:rsidRPr="58B7F4CC">
              <w:rPr>
                <w:rFonts w:ascii="Aptos" w:eastAsia="Aptos" w:hAnsi="Aptos" w:cs="Apto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0101139" w14:textId="4EE2D5E4" w:rsidR="58B7F4CC" w:rsidRDefault="58B7F4CC" w:rsidP="58B7F4CC">
            <w:pPr>
              <w:jc w:val="center"/>
            </w:pPr>
            <w:r w:rsidRPr="58B7F4CC">
              <w:rPr>
                <w:rFonts w:ascii="Aptos" w:eastAsia="Aptos" w:hAnsi="Aptos" w:cs="Aptos"/>
              </w:rPr>
              <w:t xml:space="preserve"> </w:t>
            </w:r>
          </w:p>
        </w:tc>
        <w:tc>
          <w:tcPr>
            <w:tcW w:w="86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6429735C" w14:textId="049BAE1D" w:rsidR="58B7F4CC" w:rsidRDefault="58B7F4CC" w:rsidP="58B7F4CC">
            <w:pPr>
              <w:jc w:val="center"/>
            </w:pPr>
            <w:r w:rsidRPr="58B7F4CC">
              <w:rPr>
                <w:rFonts w:ascii="Aptos" w:eastAsia="Aptos" w:hAnsi="Aptos" w:cs="Aptos"/>
              </w:rPr>
              <w:t xml:space="preserve"> </w:t>
            </w:r>
          </w:p>
        </w:tc>
        <w:tc>
          <w:tcPr>
            <w:tcW w:w="9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9702BD2" w14:textId="60775AFA" w:rsidR="58B7F4CC" w:rsidRDefault="58B7F4CC" w:rsidP="58B7F4CC">
            <w:pPr>
              <w:jc w:val="center"/>
            </w:pPr>
            <w:r w:rsidRPr="58B7F4CC">
              <w:rPr>
                <w:rFonts w:ascii="Aptos" w:eastAsia="Aptos" w:hAnsi="Aptos" w:cs="Aptos"/>
              </w:rPr>
              <w:t xml:space="preserve"> </w:t>
            </w:r>
          </w:p>
        </w:tc>
        <w:tc>
          <w:tcPr>
            <w:tcW w:w="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A985F1" w14:textId="73DA81ED" w:rsidR="58B7F4CC" w:rsidRDefault="58B7F4CC" w:rsidP="58B7F4CC">
            <w:pPr>
              <w:jc w:val="center"/>
            </w:pPr>
            <w:r w:rsidRPr="58B7F4CC">
              <w:rPr>
                <w:rFonts w:ascii="Aptos" w:eastAsia="Aptos" w:hAnsi="Aptos" w:cs="Aptos"/>
              </w:rPr>
              <w:t xml:space="preserve"> </w:t>
            </w:r>
          </w:p>
        </w:tc>
        <w:tc>
          <w:tcPr>
            <w:tcW w:w="8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A9D066" w14:textId="7BEB4561" w:rsidR="58B7F4CC" w:rsidRDefault="58B7F4CC" w:rsidP="58B7F4CC">
            <w:pPr>
              <w:jc w:val="center"/>
            </w:pPr>
            <w:r w:rsidRPr="58B7F4CC">
              <w:rPr>
                <w:rFonts w:ascii="Aptos" w:eastAsia="Aptos" w:hAnsi="Aptos" w:cs="Aptos"/>
              </w:rPr>
              <w:t xml:space="preserve"> </w:t>
            </w:r>
          </w:p>
        </w:tc>
        <w:tc>
          <w:tcPr>
            <w:tcW w:w="7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205201" w14:textId="6915B372" w:rsidR="58B7F4CC" w:rsidRDefault="58B7F4CC" w:rsidP="58B7F4CC">
            <w:pPr>
              <w:jc w:val="center"/>
            </w:pPr>
            <w:r w:rsidRPr="58B7F4CC">
              <w:rPr>
                <w:rFonts w:ascii="Aptos" w:eastAsia="Aptos" w:hAnsi="Aptos" w:cs="Aptos"/>
              </w:rPr>
              <w:t xml:space="preserve"> </w:t>
            </w:r>
          </w:p>
        </w:tc>
        <w:tc>
          <w:tcPr>
            <w:tcW w:w="770"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602CA8A6" w14:textId="3C600173" w:rsidR="58B7F4CC" w:rsidRDefault="58B7F4CC" w:rsidP="58B7F4CC">
            <w:pPr>
              <w:jc w:val="center"/>
            </w:pPr>
            <w:r w:rsidRPr="58B7F4CC">
              <w:rPr>
                <w:rFonts w:ascii="Aptos" w:eastAsia="Aptos" w:hAnsi="Aptos" w:cs="Aptos"/>
              </w:rPr>
              <w:t xml:space="preserve"> </w:t>
            </w:r>
          </w:p>
        </w:tc>
        <w:tc>
          <w:tcPr>
            <w:tcW w:w="853"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0FCE8CD5" w14:textId="420CA577" w:rsidR="58B7F4CC" w:rsidRDefault="58B7F4CC" w:rsidP="58B7F4CC">
            <w:pPr>
              <w:jc w:val="center"/>
            </w:pPr>
            <w:r w:rsidRPr="58B7F4CC">
              <w:rPr>
                <w:rFonts w:ascii="Aptos" w:eastAsia="Aptos" w:hAnsi="Aptos" w:cs="Aptos"/>
              </w:rPr>
              <w:t xml:space="preserve"> </w:t>
            </w:r>
          </w:p>
        </w:tc>
        <w:tc>
          <w:tcPr>
            <w:tcW w:w="80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4B9652F" w14:textId="6BD235A6" w:rsidR="58B7F4CC" w:rsidRDefault="58B7F4CC" w:rsidP="58B7F4CC">
            <w:pPr>
              <w:jc w:val="center"/>
            </w:pPr>
            <w:r w:rsidRPr="58B7F4CC">
              <w:rPr>
                <w:rFonts w:ascii="Aptos" w:eastAsia="Aptos" w:hAnsi="Aptos" w:cs="Aptos"/>
              </w:rPr>
              <w:t xml:space="preserve"> </w:t>
            </w:r>
          </w:p>
        </w:tc>
      </w:tr>
      <w:tr w:rsidR="58B7F4CC" w14:paraId="563875D3" w14:textId="77777777" w:rsidTr="58B7F4CC">
        <w:trPr>
          <w:trHeight w:val="15"/>
        </w:trPr>
        <w:tc>
          <w:tcPr>
            <w:tcW w:w="137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154E8B15" w14:textId="60CAA334" w:rsidR="58B7F4CC" w:rsidRDefault="58B7F4CC" w:rsidP="58B7F4CC">
            <w:pPr>
              <w:jc w:val="center"/>
            </w:pPr>
            <w:r w:rsidRPr="58B7F4CC">
              <w:rPr>
                <w:rFonts w:ascii="Aptos" w:eastAsia="Aptos" w:hAnsi="Aptos" w:cs="Aptos"/>
                <w:lang w:val="fr"/>
              </w:rPr>
              <w:t>Site 15</w:t>
            </w:r>
          </w:p>
        </w:tc>
        <w:tc>
          <w:tcPr>
            <w:tcW w:w="1107"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6F83D747" w14:textId="26F51C35" w:rsidR="58B7F4CC" w:rsidRDefault="58B7F4CC" w:rsidP="58B7F4CC">
            <w:pPr>
              <w:jc w:val="center"/>
            </w:pPr>
            <w:r w:rsidRPr="58B7F4CC">
              <w:rPr>
                <w:rFonts w:ascii="Aptos" w:eastAsia="Aptos" w:hAnsi="Aptos" w:cs="Aptos"/>
              </w:rPr>
              <w:t xml:space="preserve"> </w:t>
            </w:r>
          </w:p>
        </w:tc>
        <w:tc>
          <w:tcPr>
            <w:tcW w:w="1193"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36B76F16" w14:textId="07287F23" w:rsidR="58B7F4CC" w:rsidRDefault="58B7F4CC" w:rsidP="58B7F4CC">
            <w:pPr>
              <w:jc w:val="center"/>
            </w:pPr>
            <w:r w:rsidRPr="58B7F4CC">
              <w:rPr>
                <w:rFonts w:ascii="Aptos" w:eastAsia="Aptos" w:hAnsi="Aptos" w:cs="Aptos"/>
              </w:rPr>
              <w:t xml:space="preserve"> </w:t>
            </w:r>
          </w:p>
        </w:tc>
        <w:tc>
          <w:tcPr>
            <w:tcW w:w="86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6086A762" w14:textId="46542840" w:rsidR="58B7F4CC" w:rsidRDefault="58B7F4CC" w:rsidP="58B7F4CC">
            <w:pPr>
              <w:jc w:val="center"/>
            </w:pPr>
            <w:r w:rsidRPr="58B7F4CC">
              <w:rPr>
                <w:rFonts w:ascii="Aptos" w:eastAsia="Aptos" w:hAnsi="Aptos" w:cs="Aptos"/>
              </w:rPr>
              <w:t xml:space="preserve"> </w:t>
            </w:r>
          </w:p>
        </w:tc>
        <w:tc>
          <w:tcPr>
            <w:tcW w:w="9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CE9584" w14:textId="2D8B8343" w:rsidR="58B7F4CC" w:rsidRDefault="58B7F4CC" w:rsidP="58B7F4CC">
            <w:pPr>
              <w:jc w:val="center"/>
            </w:pPr>
            <w:r w:rsidRPr="58B7F4CC">
              <w:rPr>
                <w:rFonts w:ascii="Aptos" w:eastAsia="Aptos" w:hAnsi="Aptos" w:cs="Aptos"/>
              </w:rPr>
              <w:t xml:space="preserve"> </w:t>
            </w:r>
          </w:p>
        </w:tc>
        <w:tc>
          <w:tcPr>
            <w:tcW w:w="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F59B82" w14:textId="31871A59" w:rsidR="58B7F4CC" w:rsidRDefault="58B7F4CC" w:rsidP="58B7F4CC">
            <w:pPr>
              <w:jc w:val="center"/>
            </w:pPr>
            <w:r w:rsidRPr="58B7F4CC">
              <w:rPr>
                <w:rFonts w:ascii="Aptos" w:eastAsia="Aptos" w:hAnsi="Aptos" w:cs="Aptos"/>
              </w:rPr>
              <w:t xml:space="preserve"> </w:t>
            </w:r>
          </w:p>
        </w:tc>
        <w:tc>
          <w:tcPr>
            <w:tcW w:w="8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1511DC" w14:textId="07AD64BF" w:rsidR="58B7F4CC" w:rsidRDefault="58B7F4CC" w:rsidP="58B7F4CC">
            <w:pPr>
              <w:jc w:val="center"/>
            </w:pPr>
            <w:r w:rsidRPr="58B7F4CC">
              <w:rPr>
                <w:rFonts w:ascii="Aptos" w:eastAsia="Aptos" w:hAnsi="Aptos" w:cs="Aptos"/>
              </w:rPr>
              <w:t xml:space="preserve"> </w:t>
            </w:r>
          </w:p>
        </w:tc>
        <w:tc>
          <w:tcPr>
            <w:tcW w:w="7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9CFBF9" w14:textId="3F4BD5F7" w:rsidR="58B7F4CC" w:rsidRDefault="58B7F4CC" w:rsidP="58B7F4CC">
            <w:pPr>
              <w:jc w:val="center"/>
            </w:pPr>
            <w:r w:rsidRPr="58B7F4CC">
              <w:rPr>
                <w:rFonts w:ascii="Aptos" w:eastAsia="Aptos" w:hAnsi="Aptos" w:cs="Aptos"/>
              </w:rPr>
              <w:t xml:space="preserve"> </w:t>
            </w:r>
          </w:p>
        </w:tc>
        <w:tc>
          <w:tcPr>
            <w:tcW w:w="770"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3B109152" w14:textId="6C9227EE" w:rsidR="58B7F4CC" w:rsidRDefault="58B7F4CC" w:rsidP="58B7F4CC">
            <w:pPr>
              <w:jc w:val="center"/>
            </w:pPr>
            <w:r w:rsidRPr="58B7F4CC">
              <w:rPr>
                <w:rFonts w:ascii="Aptos" w:eastAsia="Aptos" w:hAnsi="Aptos" w:cs="Aptos"/>
              </w:rPr>
              <w:t xml:space="preserve"> </w:t>
            </w:r>
          </w:p>
        </w:tc>
        <w:tc>
          <w:tcPr>
            <w:tcW w:w="853"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1EB59A43" w14:textId="2A611FE0" w:rsidR="58B7F4CC" w:rsidRDefault="58B7F4CC" w:rsidP="58B7F4CC">
            <w:pPr>
              <w:jc w:val="center"/>
            </w:pPr>
            <w:r w:rsidRPr="58B7F4CC">
              <w:rPr>
                <w:rFonts w:ascii="Aptos" w:eastAsia="Aptos" w:hAnsi="Aptos" w:cs="Aptos"/>
              </w:rPr>
              <w:t xml:space="preserve"> </w:t>
            </w:r>
          </w:p>
        </w:tc>
        <w:tc>
          <w:tcPr>
            <w:tcW w:w="80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557353" w14:textId="0751E5D4" w:rsidR="58B7F4CC" w:rsidRDefault="58B7F4CC" w:rsidP="58B7F4CC">
            <w:pPr>
              <w:jc w:val="center"/>
            </w:pPr>
            <w:r w:rsidRPr="58B7F4CC">
              <w:rPr>
                <w:rFonts w:ascii="Aptos" w:eastAsia="Aptos" w:hAnsi="Aptos" w:cs="Aptos"/>
              </w:rPr>
              <w:t xml:space="preserve"> </w:t>
            </w:r>
          </w:p>
        </w:tc>
      </w:tr>
      <w:tr w:rsidR="58B7F4CC" w14:paraId="36209C75" w14:textId="77777777" w:rsidTr="58B7F4CC">
        <w:trPr>
          <w:trHeight w:val="15"/>
        </w:trPr>
        <w:tc>
          <w:tcPr>
            <w:tcW w:w="10080" w:type="dxa"/>
            <w:gridSpan w:val="11"/>
            <w:tcBorders>
              <w:top w:val="single" w:sz="8" w:space="0" w:color="auto"/>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3B972204" w14:textId="48B72984" w:rsidR="58B7F4CC" w:rsidRDefault="58B7F4CC" w:rsidP="58B7F4CC">
            <w:r w:rsidRPr="58B7F4CC">
              <w:rPr>
                <w:rFonts w:ascii="Aptos" w:eastAsia="Aptos" w:hAnsi="Aptos" w:cs="Aptos"/>
                <w:i/>
                <w:iCs/>
                <w:sz w:val="16"/>
                <w:szCs w:val="16"/>
                <w:lang w:val="fr"/>
              </w:rPr>
              <w:t>Abréviations : AII : Infection de toute intensité UMO :  Unité de mise en œuvre ; MHII : Infection d’intensité modérée à forte ; HTS : Helminthes transmis par le sol</w:t>
            </w:r>
          </w:p>
          <w:p w14:paraId="3154183A" w14:textId="6B1506FE" w:rsidR="58B7F4CC" w:rsidRDefault="58B7F4CC" w:rsidP="58B7F4CC">
            <w:r w:rsidRPr="58B7F4CC">
              <w:rPr>
                <w:rFonts w:ascii="Aptos" w:eastAsia="Aptos" w:hAnsi="Aptos" w:cs="Aptos"/>
                <w:i/>
                <w:iCs/>
                <w:sz w:val="16"/>
                <w:szCs w:val="16"/>
                <w:lang w:val="fr"/>
              </w:rPr>
              <w:t>Pour chaque espèce, les valeurs dans les cellules grisées représentent la prévalence moyenne du site dans l’UMO, tandis que les valeurs non grisées indiquent la prévalence du site individuel. Les encadrés épais mettent en évidence les valeurs utilisées pour les recommandations de décision de traitement (AII) et pour évaluer si le seuil de l’EPHP a été atteint (MHII).</w:t>
            </w:r>
          </w:p>
        </w:tc>
      </w:tr>
    </w:tbl>
    <w:p w14:paraId="6F169A85" w14:textId="34E63847" w:rsidR="6EDEF3A1" w:rsidRDefault="12403FBE" w:rsidP="58B7F4CC">
      <w:pPr>
        <w:spacing w:after="160" w:line="276" w:lineRule="auto"/>
      </w:pPr>
      <w:r w:rsidRPr="58B7F4CC">
        <w:rPr>
          <w:rFonts w:ascii="Aptos" w:eastAsia="Aptos" w:hAnsi="Aptos" w:cs="Aptos"/>
          <w:b/>
          <w:bCs/>
          <w:lang w:val="fr"/>
        </w:rPr>
        <w:t xml:space="preserve"> </w:t>
      </w:r>
    </w:p>
    <w:p w14:paraId="4F6CAEBB" w14:textId="4D5B1C59" w:rsidR="6EDEF3A1" w:rsidRDefault="12403FBE" w:rsidP="58B7F4CC">
      <w:pPr>
        <w:spacing w:after="160" w:line="276" w:lineRule="auto"/>
      </w:pPr>
      <w:proofErr w:type="gramStart"/>
      <w:r w:rsidRPr="58B7F4CC">
        <w:rPr>
          <w:rFonts w:ascii="Aptos" w:eastAsia="Aptos" w:hAnsi="Aptos" w:cs="Aptos"/>
          <w:b/>
          <w:bCs/>
          <w:lang w:val="fr-FR"/>
        </w:rPr>
        <w:t>6:</w:t>
      </w:r>
      <w:proofErr w:type="gramEnd"/>
      <w:r w:rsidRPr="58B7F4CC">
        <w:rPr>
          <w:rFonts w:ascii="Aptos" w:eastAsia="Aptos" w:hAnsi="Aptos" w:cs="Aptos"/>
          <w:b/>
          <w:bCs/>
          <w:lang w:val="fr-FR"/>
        </w:rPr>
        <w:t xml:space="preserve"> Évaluez la mise en œuvre et les limites de l’enquête. </w:t>
      </w:r>
      <w:r w:rsidRPr="58B7F4CC">
        <w:rPr>
          <w:rFonts w:ascii="Aptos" w:eastAsia="Aptos" w:hAnsi="Aptos" w:cs="Aptos"/>
          <w:lang w:val="fr-FR"/>
        </w:rPr>
        <w:t xml:space="preserve">Avant d’utiliser les résultats de l’enquête pour orienter la programmation ou la prise de décision, il est important d’évaluer à la fois la validité des résultats et les menaces potentielles à leur interprétation. Cela implique d’évaluer si l’enquête s’est déroulée comme prévu et d’identifier tout problème susceptible d’avoir eu une incidence sur les résultats. </w:t>
      </w:r>
    </w:p>
    <w:p w14:paraId="17C921D8" w14:textId="1E1718C8" w:rsidR="6EDEF3A1" w:rsidRDefault="12403FBE" w:rsidP="58B7F4CC">
      <w:pPr>
        <w:spacing w:after="160" w:line="276" w:lineRule="auto"/>
      </w:pPr>
      <w:r w:rsidRPr="58B7F4CC">
        <w:rPr>
          <w:rFonts w:ascii="Aptos" w:eastAsia="Aptos" w:hAnsi="Aptos" w:cs="Aptos"/>
          <w:lang w:val="fr"/>
        </w:rPr>
        <w:t xml:space="preserve">Il s’agit notamment de déterminer si la taille de l’échantillon requis a été atteinte sur chaque site et si tous les sites prévus ont fait l’objet d’une enquête. En outre, il est important d’examiner les problèmes liés à la collecte des données, les écarts par rapport aux procédures d’enquête prévues et la manière dont ces procédures ont été contrôlées tout au long du processus d’enquête. Par exemple, évaluez si les procédures de laboratoire ont été exécutées comme prévu, en veillant notamment à ce que les lames de microscope soient lues dans les 60 minutes suivant leur préparation pour une évaluation précise de </w:t>
      </w:r>
      <w:r w:rsidRPr="58B7F4CC">
        <w:rPr>
          <w:rFonts w:ascii="Aptos" w:eastAsia="Aptos" w:hAnsi="Aptos" w:cs="Aptos"/>
          <w:lang w:val="fr"/>
        </w:rPr>
        <w:lastRenderedPageBreak/>
        <w:t xml:space="preserve">l’ankylostome. Un autre facteur consiste à évaluer si la population faisant l’objet de l’enquête correspond à la population cible visée. Par exemple, la fréquentation scolaire est-elle suffisante pour que l’on puisse raisonnablement supposer que la prévalence mesurée chez les enfants scolarisés s’applique à l’ensemble de la population d’âge scolaire de la communauté ? Enfin, évaluez si les résultats correspondent aux attentes initiales. S’il y a des divergences, réfléchissez à ce qui pourrait les expliquer. </w:t>
      </w:r>
    </w:p>
    <w:p w14:paraId="1851B083" w14:textId="61F8E3A2" w:rsidR="6EDEF3A1" w:rsidRDefault="12403FBE" w:rsidP="58B7F4CC">
      <w:pPr>
        <w:spacing w:after="160" w:line="276" w:lineRule="auto"/>
      </w:pPr>
      <w:r w:rsidRPr="58B7F4CC">
        <w:rPr>
          <w:rFonts w:ascii="Aptos" w:eastAsia="Aptos" w:hAnsi="Aptos" w:cs="Aptos"/>
          <w:lang w:val="fr"/>
        </w:rPr>
        <w:t>L’examen et la documentation de ces considérations permettront d’évaluer comment les limites de l’enquête peuvent affecter la validité des résultats et de guider les ajustements nécessaires dans l’interprétation.</w:t>
      </w:r>
    </w:p>
    <w:p w14:paraId="72640B1D" w14:textId="7AC7A073" w:rsidR="6EDEF3A1" w:rsidRDefault="12403FBE" w:rsidP="58B7F4CC">
      <w:pPr>
        <w:spacing w:after="160" w:line="276" w:lineRule="auto"/>
      </w:pPr>
      <w:proofErr w:type="gramStart"/>
      <w:r w:rsidRPr="58B7F4CC">
        <w:rPr>
          <w:rFonts w:ascii="Aptos" w:eastAsia="Aptos" w:hAnsi="Aptos" w:cs="Aptos"/>
          <w:b/>
          <w:bCs/>
          <w:lang w:val="fr-FR"/>
        </w:rPr>
        <w:t>7:</w:t>
      </w:r>
      <w:proofErr w:type="gramEnd"/>
      <w:r w:rsidRPr="58B7F4CC">
        <w:rPr>
          <w:rFonts w:ascii="Aptos" w:eastAsia="Aptos" w:hAnsi="Aptos" w:cs="Aptos"/>
          <w:b/>
          <w:bCs/>
          <w:lang w:val="fr-FR"/>
        </w:rPr>
        <w:t xml:space="preserve"> Déterminez les recommandations de l’OMS en matière de fréquence de CP pour chaque UMO. </w:t>
      </w:r>
      <w:r w:rsidRPr="58B7F4CC">
        <w:rPr>
          <w:rFonts w:ascii="Aptos" w:eastAsia="Aptos" w:hAnsi="Aptos" w:cs="Aptos"/>
          <w:lang w:val="fr-FR"/>
        </w:rPr>
        <w:t xml:space="preserve">Selon l’OMS, la prévalence moyenne sur le site des infections par toute espèce de HTS, de toute intensité, est utilisée pour orienter la fréquence du traitement. </w:t>
      </w:r>
      <w:r w:rsidRPr="58B7F4CC">
        <w:rPr>
          <w:rFonts w:ascii="Aptos" w:eastAsia="Aptos" w:hAnsi="Aptos" w:cs="Aptos"/>
          <w:vertAlign w:val="superscript"/>
          <w:lang w:val="fr-FR"/>
        </w:rPr>
        <w:t>2-4</w:t>
      </w:r>
      <w:r w:rsidRPr="58B7F4CC">
        <w:rPr>
          <w:rFonts w:ascii="Aptos" w:eastAsia="Aptos" w:hAnsi="Aptos" w:cs="Aptos"/>
          <w:lang w:val="fr-FR"/>
        </w:rPr>
        <w:t xml:space="preserve"> La prévalence moyenne du site calculée par l’évaluation pratique est un indicateur approprié de la prévalence au niveau de l’UMO. </w:t>
      </w:r>
    </w:p>
    <w:p w14:paraId="3E4CB24F" w14:textId="2FE986AE" w:rsidR="6EDEF3A1" w:rsidRDefault="12403FBE" w:rsidP="58B7F4CC">
      <w:pPr>
        <w:spacing w:after="160" w:line="276" w:lineRule="auto"/>
      </w:pPr>
      <w:r w:rsidRPr="58B7F4CC">
        <w:rPr>
          <w:rFonts w:ascii="Aptos" w:eastAsia="Aptos" w:hAnsi="Aptos" w:cs="Aptos"/>
          <w:lang w:val="fr-FR"/>
        </w:rPr>
        <w:t>La figure 2 du document de l’OMS présentant les</w:t>
      </w:r>
      <w:r w:rsidRPr="58B7F4CC">
        <w:rPr>
          <w:rFonts w:ascii="Aptos" w:eastAsia="Aptos" w:hAnsi="Aptos" w:cs="Aptos"/>
          <w:i/>
          <w:iCs/>
          <w:lang w:val="fr-FR"/>
        </w:rPr>
        <w:t xml:space="preserve"> objectifs 2030 des programmes de lutte contre les </w:t>
      </w:r>
      <w:proofErr w:type="spellStart"/>
      <w:r w:rsidRPr="58B7F4CC">
        <w:rPr>
          <w:rFonts w:ascii="Aptos" w:eastAsia="Aptos" w:hAnsi="Aptos" w:cs="Aptos"/>
          <w:i/>
          <w:iCs/>
          <w:lang w:val="fr-FR"/>
        </w:rPr>
        <w:t>géohelminthiases</w:t>
      </w:r>
      <w:proofErr w:type="spellEnd"/>
      <w:r w:rsidRPr="58B7F4CC">
        <w:rPr>
          <w:rFonts w:ascii="Aptos" w:eastAsia="Aptos" w:hAnsi="Aptos" w:cs="Aptos"/>
          <w:lang w:val="fr-FR"/>
        </w:rPr>
        <w:t xml:space="preserve"> illustre la fréquence recommandée de la chimiothérapie préventive (CP) à la suite des enquêtes de référence et d’impact. Si l’évaluation pratique est considérée comme une </w:t>
      </w:r>
      <w:r w:rsidRPr="58B7F4CC">
        <w:rPr>
          <w:rFonts w:ascii="Aptos" w:eastAsia="Aptos" w:hAnsi="Aptos" w:cs="Aptos"/>
          <w:u w:val="single"/>
          <w:lang w:val="fr-FR"/>
        </w:rPr>
        <w:t>étude d’impact</w:t>
      </w:r>
      <w:r w:rsidRPr="58B7F4CC">
        <w:rPr>
          <w:rFonts w:ascii="Aptos" w:eastAsia="Aptos" w:hAnsi="Aptos" w:cs="Aptos"/>
          <w:lang w:val="fr-FR"/>
        </w:rPr>
        <w:t>, ce tableau présente les recommandations suivantes :</w:t>
      </w:r>
    </w:p>
    <w:tbl>
      <w:tblPr>
        <w:tblStyle w:val="TableGrid"/>
        <w:tblW w:w="0" w:type="auto"/>
        <w:tblLayout w:type="fixed"/>
        <w:tblLook w:val="04A0" w:firstRow="1" w:lastRow="0" w:firstColumn="1" w:lastColumn="0" w:noHBand="0" w:noVBand="1"/>
      </w:tblPr>
      <w:tblGrid>
        <w:gridCol w:w="3852"/>
        <w:gridCol w:w="3853"/>
      </w:tblGrid>
      <w:tr w:rsidR="58B7F4CC" w14:paraId="6F4CA364" w14:textId="77777777" w:rsidTr="58B7F4CC">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72E29E19" w14:textId="11B779DC" w:rsidR="58B7F4CC" w:rsidRDefault="58B7F4CC" w:rsidP="58B7F4CC">
            <w:pPr>
              <w:jc w:val="center"/>
            </w:pPr>
            <w:r w:rsidRPr="58B7F4CC">
              <w:rPr>
                <w:rFonts w:ascii="Aptos" w:eastAsia="Aptos" w:hAnsi="Aptos" w:cs="Aptos"/>
                <w:b/>
                <w:bCs/>
                <w:lang w:val="fr"/>
              </w:rPr>
              <w:t xml:space="preserve"> Prévalence des infections par toute espèce de HTS, de toute intensité (AII)</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2BF52AE8" w14:textId="1DD1BE1C" w:rsidR="58B7F4CC" w:rsidRDefault="58B7F4CC" w:rsidP="58B7F4CC">
            <w:pPr>
              <w:jc w:val="center"/>
            </w:pPr>
            <w:r w:rsidRPr="58B7F4CC">
              <w:rPr>
                <w:rFonts w:ascii="Aptos" w:eastAsia="Aptos" w:hAnsi="Aptos" w:cs="Aptos"/>
                <w:b/>
                <w:bCs/>
                <w:lang w:val="fr"/>
              </w:rPr>
              <w:t xml:space="preserve">Recommandation de l’OMS </w:t>
            </w:r>
            <w:r>
              <w:br/>
            </w:r>
            <w:r w:rsidRPr="58B7F4CC">
              <w:rPr>
                <w:rFonts w:ascii="Aptos" w:eastAsia="Aptos" w:hAnsi="Aptos" w:cs="Aptos"/>
                <w:b/>
                <w:bCs/>
                <w:lang w:val="fr"/>
              </w:rPr>
              <w:t xml:space="preserve"> Fréquence de la CP</w:t>
            </w:r>
          </w:p>
        </w:tc>
      </w:tr>
      <w:tr w:rsidR="58B7F4CC" w14:paraId="0DD12C9B" w14:textId="77777777" w:rsidTr="58B7F4CC">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5D63F6C1" w14:textId="56AEF521" w:rsidR="58B7F4CC" w:rsidRDefault="58B7F4CC" w:rsidP="58B7F4CC">
            <w:pPr>
              <w:jc w:val="center"/>
            </w:pPr>
            <w:r w:rsidRPr="58B7F4CC">
              <w:rPr>
                <w:rFonts w:ascii="Aptos" w:eastAsia="Aptos" w:hAnsi="Aptos" w:cs="Aptos"/>
                <w:lang w:val="fr"/>
              </w:rPr>
              <w:t>&lt;2 %</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58CB25CD" w14:textId="1C02F846" w:rsidR="58B7F4CC" w:rsidRDefault="58B7F4CC" w:rsidP="58B7F4CC">
            <w:pPr>
              <w:jc w:val="center"/>
            </w:pPr>
            <w:r w:rsidRPr="58B7F4CC">
              <w:rPr>
                <w:rFonts w:ascii="Aptos" w:eastAsia="Aptos" w:hAnsi="Aptos" w:cs="Aptos"/>
                <w:lang w:val="fr"/>
              </w:rPr>
              <w:t>Pas de CP</w:t>
            </w:r>
          </w:p>
        </w:tc>
      </w:tr>
      <w:tr w:rsidR="58B7F4CC" w14:paraId="368A18A8" w14:textId="77777777" w:rsidTr="58B7F4CC">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6CF7F5EB" w14:textId="2F92D554" w:rsidR="58B7F4CC" w:rsidRDefault="58B7F4CC" w:rsidP="58B7F4CC">
            <w:pPr>
              <w:jc w:val="center"/>
            </w:pPr>
            <w:r w:rsidRPr="58B7F4CC">
              <w:rPr>
                <w:rFonts w:ascii="Aptos" w:eastAsia="Aptos" w:hAnsi="Aptos" w:cs="Aptos"/>
                <w:lang w:val="fr"/>
              </w:rPr>
              <w:t>2-&lt;10 %</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643D3C9A" w14:textId="7D578F19" w:rsidR="58B7F4CC" w:rsidRDefault="58B7F4CC" w:rsidP="58B7F4CC">
            <w:pPr>
              <w:jc w:val="center"/>
            </w:pPr>
            <w:r w:rsidRPr="58B7F4CC">
              <w:rPr>
                <w:rFonts w:ascii="Aptos" w:eastAsia="Aptos" w:hAnsi="Aptos" w:cs="Aptos"/>
                <w:lang w:val="fr"/>
              </w:rPr>
              <w:t>Une fois tous les deux ans</w:t>
            </w:r>
          </w:p>
        </w:tc>
      </w:tr>
      <w:tr w:rsidR="58B7F4CC" w14:paraId="2629E13B" w14:textId="77777777" w:rsidTr="58B7F4CC">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565C86AB" w14:textId="78C6B973" w:rsidR="58B7F4CC" w:rsidRDefault="58B7F4CC" w:rsidP="58B7F4CC">
            <w:pPr>
              <w:jc w:val="center"/>
            </w:pPr>
            <w:r w:rsidRPr="58B7F4CC">
              <w:rPr>
                <w:rFonts w:ascii="Aptos" w:eastAsia="Aptos" w:hAnsi="Aptos" w:cs="Aptos"/>
                <w:lang w:val="fr"/>
              </w:rPr>
              <w:t>10-&lt;20 %</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6FFB69AC" w14:textId="5C29146B" w:rsidR="58B7F4CC" w:rsidRDefault="58B7F4CC" w:rsidP="58B7F4CC">
            <w:pPr>
              <w:jc w:val="center"/>
            </w:pPr>
            <w:r w:rsidRPr="58B7F4CC">
              <w:rPr>
                <w:rFonts w:ascii="Aptos" w:eastAsia="Aptos" w:hAnsi="Aptos" w:cs="Aptos"/>
                <w:lang w:val="fr"/>
              </w:rPr>
              <w:t>Une fois par an</w:t>
            </w:r>
          </w:p>
        </w:tc>
      </w:tr>
      <w:tr w:rsidR="58B7F4CC" w14:paraId="68E3D1F0" w14:textId="77777777" w:rsidTr="58B7F4CC">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61DC74C7" w14:textId="762D8C5A" w:rsidR="58B7F4CC" w:rsidRDefault="58B7F4CC" w:rsidP="58B7F4CC">
            <w:pPr>
              <w:jc w:val="center"/>
            </w:pPr>
            <w:r w:rsidRPr="58B7F4CC">
              <w:rPr>
                <w:rFonts w:ascii="Aptos" w:eastAsia="Aptos" w:hAnsi="Aptos" w:cs="Aptos"/>
                <w:lang w:val="fr"/>
              </w:rPr>
              <w:t>20-&lt;50 %</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66F0C0F7" w14:textId="5CCAF625" w:rsidR="58B7F4CC" w:rsidRDefault="58B7F4CC" w:rsidP="58B7F4CC">
            <w:pPr>
              <w:jc w:val="center"/>
            </w:pPr>
            <w:r w:rsidRPr="58B7F4CC">
              <w:rPr>
                <w:rFonts w:ascii="Aptos" w:eastAsia="Aptos" w:hAnsi="Aptos" w:cs="Aptos"/>
                <w:lang w:val="fr"/>
              </w:rPr>
              <w:t>Maintien de la fréquence précédente</w:t>
            </w:r>
          </w:p>
        </w:tc>
      </w:tr>
      <w:tr w:rsidR="58B7F4CC" w14:paraId="68A0E84D" w14:textId="77777777" w:rsidTr="58B7F4CC">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3F5BFEF5" w14:textId="329D8C34" w:rsidR="58B7F4CC" w:rsidRDefault="58B7F4CC" w:rsidP="58B7F4CC">
            <w:pPr>
              <w:jc w:val="center"/>
            </w:pPr>
            <w:r w:rsidRPr="58B7F4CC">
              <w:rPr>
                <w:rFonts w:ascii="Aptos" w:eastAsia="Aptos" w:hAnsi="Aptos" w:cs="Aptos"/>
                <w:lang w:val="fr"/>
              </w:rPr>
              <w:t>≥50 %</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1E0B022C" w14:textId="4197E39D" w:rsidR="58B7F4CC" w:rsidRDefault="58B7F4CC" w:rsidP="58B7F4CC">
            <w:pPr>
              <w:jc w:val="center"/>
            </w:pPr>
            <w:r w:rsidRPr="58B7F4CC">
              <w:rPr>
                <w:rFonts w:ascii="Aptos" w:eastAsia="Aptos" w:hAnsi="Aptos" w:cs="Aptos"/>
                <w:lang w:val="fr"/>
              </w:rPr>
              <w:t>Trois fois par an</w:t>
            </w:r>
          </w:p>
        </w:tc>
      </w:tr>
    </w:tbl>
    <w:p w14:paraId="2E43B93B" w14:textId="7174C3A3" w:rsidR="6EDEF3A1" w:rsidRDefault="12403FBE" w:rsidP="58B7F4CC">
      <w:pPr>
        <w:spacing w:after="160"/>
      </w:pPr>
      <w:r w:rsidRPr="58B7F4CC">
        <w:rPr>
          <w:rFonts w:ascii="Aptos" w:eastAsia="Aptos" w:hAnsi="Aptos" w:cs="Aptos"/>
          <w:lang w:val="fr"/>
        </w:rPr>
        <w:t xml:space="preserve"> </w:t>
      </w:r>
    </w:p>
    <w:p w14:paraId="08E7991C" w14:textId="29F0B436" w:rsidR="6EDEF3A1" w:rsidRDefault="12403FBE" w:rsidP="58B7F4CC">
      <w:pPr>
        <w:spacing w:after="160" w:line="276" w:lineRule="auto"/>
      </w:pPr>
      <w:proofErr w:type="gramStart"/>
      <w:r w:rsidRPr="58B7F4CC">
        <w:rPr>
          <w:rFonts w:ascii="Aptos" w:eastAsia="Aptos" w:hAnsi="Aptos" w:cs="Aptos"/>
          <w:b/>
          <w:bCs/>
          <w:lang w:val="fr-FR"/>
        </w:rPr>
        <w:t>8:</w:t>
      </w:r>
      <w:proofErr w:type="gramEnd"/>
      <w:r w:rsidRPr="58B7F4CC">
        <w:rPr>
          <w:rFonts w:ascii="Aptos" w:eastAsia="Aptos" w:hAnsi="Aptos" w:cs="Aptos"/>
          <w:b/>
          <w:bCs/>
          <w:lang w:val="fr-FR"/>
        </w:rPr>
        <w:t xml:space="preserve"> Évaluez si l’objectif d’EPHP a été atteint dans l’UMO. </w:t>
      </w:r>
      <w:r w:rsidRPr="58B7F4CC">
        <w:rPr>
          <w:rFonts w:ascii="Arial" w:eastAsia="Arial" w:hAnsi="Arial" w:cs="Arial"/>
          <w:lang w:val="fr-FR"/>
        </w:rPr>
        <w:t xml:space="preserve"> </w:t>
      </w:r>
      <w:r w:rsidRPr="58B7F4CC">
        <w:rPr>
          <w:rFonts w:ascii="Aptos" w:eastAsia="Aptos" w:hAnsi="Aptos" w:cs="Aptos"/>
          <w:lang w:val="fr-FR"/>
        </w:rPr>
        <w:t xml:space="preserve">La validation de l’EPHP est réalisée au niveau national, mais il est important d’évaluer si cet objectif a été atteint dans chaque UMO à des fins de suivi de la morbidité et pour soutenir les futurs efforts de validation de l’EPHP. </w:t>
      </w:r>
    </w:p>
    <w:p w14:paraId="1DBBC02E" w14:textId="4D0E29B6" w:rsidR="6EDEF3A1" w:rsidRDefault="12403FBE" w:rsidP="58B7F4CC">
      <w:pPr>
        <w:spacing w:after="160" w:line="276" w:lineRule="auto"/>
      </w:pPr>
      <w:r w:rsidRPr="58B7F4CC">
        <w:rPr>
          <w:rFonts w:ascii="Aptos" w:eastAsia="Aptos" w:hAnsi="Aptos" w:cs="Aptos"/>
          <w:lang w:val="fr"/>
        </w:rPr>
        <w:t xml:space="preserve">Sur la base de la prévalence moyenne de la MHII dans le site, déterminez si l’objectif de l’EPHP a été atteint (&lt;2 % de MHII) ou n’a pas encore été atteint (≥2 % de MHII) dans l’UMO. Il convient de noter que les directives de l’OMS précisent que l’indicateur de l’EPHP est mesuré parmi les enfants d’âges préscolaire et scolaire. </w:t>
      </w:r>
      <w:r w:rsidRPr="58B7F4CC">
        <w:rPr>
          <w:rFonts w:ascii="Aptos" w:eastAsia="Aptos" w:hAnsi="Aptos" w:cs="Aptos"/>
          <w:vertAlign w:val="superscript"/>
          <w:lang w:val="fr"/>
        </w:rPr>
        <w:t>6</w:t>
      </w:r>
      <w:r w:rsidRPr="58B7F4CC">
        <w:rPr>
          <w:rFonts w:ascii="Aptos" w:eastAsia="Aptos" w:hAnsi="Aptos" w:cs="Aptos"/>
          <w:lang w:val="fr"/>
        </w:rPr>
        <w:t xml:space="preserve"> Cependant, les enquêtes sont souvent menées uniquement auprès d’enfants d’âge scolaire, et les conclusions sont souvent tirées à partir de ce groupe.</w:t>
      </w:r>
    </w:p>
    <w:p w14:paraId="2CEC0175" w14:textId="3690CFE5" w:rsidR="6EDEF3A1" w:rsidRDefault="12403FBE" w:rsidP="58B7F4CC">
      <w:pPr>
        <w:spacing w:after="160" w:line="276" w:lineRule="auto"/>
      </w:pPr>
      <w:r w:rsidRPr="58B7F4CC">
        <w:rPr>
          <w:rFonts w:ascii="Aptos" w:eastAsia="Aptos" w:hAnsi="Aptos" w:cs="Aptos"/>
          <w:lang w:val="fr"/>
        </w:rPr>
        <w:t>Il est important de noter que la prévalence de la MHII sera toujours égale ou inférieure à la prévalence de l’AII au sein d’une espèce particulière ou au sein de la mesure agrégée « toute espèce de HTS ». Il est donc possible d’atteindre le seuil d’EPHP de &lt;2 % de MHII dans l’UMO tout en continuant l’administration de CP (≥2 % d’AII). La fréquence de la CP dépendra de la prévalence globale de l’AII, comme indiqué dans le tableau de l’étape 7 ci-dessus.</w:t>
      </w:r>
    </w:p>
    <w:p w14:paraId="607A5C96" w14:textId="44D299B3" w:rsidR="6EDEF3A1" w:rsidRDefault="12403FBE" w:rsidP="58B7F4CC">
      <w:pPr>
        <w:spacing w:after="160" w:line="276" w:lineRule="auto"/>
      </w:pPr>
      <w:proofErr w:type="gramStart"/>
      <w:r w:rsidRPr="58B7F4CC">
        <w:rPr>
          <w:rFonts w:ascii="Aptos" w:eastAsia="Aptos" w:hAnsi="Aptos" w:cs="Aptos"/>
          <w:b/>
          <w:bCs/>
          <w:lang w:val="fr-FR"/>
        </w:rPr>
        <w:lastRenderedPageBreak/>
        <w:t>9:</w:t>
      </w:r>
      <w:proofErr w:type="gramEnd"/>
      <w:r w:rsidRPr="58B7F4CC">
        <w:rPr>
          <w:rFonts w:ascii="Aptos" w:eastAsia="Aptos" w:hAnsi="Aptos" w:cs="Aptos"/>
          <w:b/>
          <w:bCs/>
          <w:lang w:val="fr-FR"/>
        </w:rPr>
        <w:t xml:space="preserve"> Envoyez les résultats à l’OMS.</w:t>
      </w:r>
      <w:r w:rsidRPr="58B7F4CC">
        <w:rPr>
          <w:rFonts w:ascii="Aptos" w:eastAsia="Aptos" w:hAnsi="Aptos" w:cs="Aptos"/>
          <w:lang w:val="fr-FR"/>
        </w:rPr>
        <w:t xml:space="preserve"> Dès que les résultats sont disponibles, communiquez-les rapidement à l’OMS en utilisant le formulaire de rapport des données épidémiologiques en matière de CP (EPIRF, </w:t>
      </w:r>
      <w:proofErr w:type="spellStart"/>
      <w:r w:rsidRPr="58B7F4CC">
        <w:rPr>
          <w:rFonts w:ascii="Aptos" w:eastAsia="Aptos" w:hAnsi="Aptos" w:cs="Aptos"/>
          <w:lang w:val="fr-FR"/>
        </w:rPr>
        <w:t>Epidemiological</w:t>
      </w:r>
      <w:proofErr w:type="spellEnd"/>
      <w:r w:rsidRPr="58B7F4CC">
        <w:rPr>
          <w:rFonts w:ascii="Aptos" w:eastAsia="Aptos" w:hAnsi="Aptos" w:cs="Aptos"/>
          <w:lang w:val="fr-FR"/>
        </w:rPr>
        <w:t xml:space="preserve"> Data </w:t>
      </w:r>
      <w:proofErr w:type="spellStart"/>
      <w:r w:rsidRPr="58B7F4CC">
        <w:rPr>
          <w:rFonts w:ascii="Aptos" w:eastAsia="Aptos" w:hAnsi="Aptos" w:cs="Aptos"/>
          <w:lang w:val="fr-FR"/>
        </w:rPr>
        <w:t>Reporting</w:t>
      </w:r>
      <w:proofErr w:type="spellEnd"/>
      <w:r w:rsidRPr="58B7F4CC">
        <w:rPr>
          <w:rFonts w:ascii="Aptos" w:eastAsia="Aptos" w:hAnsi="Aptos" w:cs="Aptos"/>
          <w:lang w:val="fr-FR"/>
        </w:rPr>
        <w:t xml:space="preserve"> </w:t>
      </w:r>
      <w:proofErr w:type="spellStart"/>
      <w:r w:rsidRPr="58B7F4CC">
        <w:rPr>
          <w:rFonts w:ascii="Aptos" w:eastAsia="Aptos" w:hAnsi="Aptos" w:cs="Aptos"/>
          <w:lang w:val="fr-FR"/>
        </w:rPr>
        <w:t>Form</w:t>
      </w:r>
      <w:proofErr w:type="spellEnd"/>
      <w:r w:rsidRPr="58B7F4CC">
        <w:rPr>
          <w:rFonts w:ascii="Aptos" w:eastAsia="Aptos" w:hAnsi="Aptos" w:cs="Aptos"/>
          <w:lang w:val="fr-FR"/>
        </w:rPr>
        <w:t>). Ces rapports sont essentiels pour suivre les progrès réalisés au niveau mondial en matière de lutte contre les HTS, ainsi que pour comprendre et préparer les futures demandes de dons.</w:t>
      </w:r>
    </w:p>
    <w:p w14:paraId="642D1755" w14:textId="6A0F46E5" w:rsidR="6EDEF3A1" w:rsidRDefault="12403FBE" w:rsidP="58B7F4CC">
      <w:pPr>
        <w:spacing w:after="160" w:line="276" w:lineRule="auto"/>
      </w:pPr>
      <w:r w:rsidRPr="58B7F4CC">
        <w:rPr>
          <w:rFonts w:ascii="Aptos" w:eastAsia="Aptos" w:hAnsi="Aptos" w:cs="Aptos"/>
          <w:b/>
          <w:bCs/>
          <w:lang w:val="fr"/>
        </w:rPr>
        <w:t>À partir d’évaluations de précision :</w:t>
      </w:r>
      <w:r w:rsidRPr="58B7F4CC">
        <w:rPr>
          <w:rFonts w:ascii="Aptos" w:eastAsia="Aptos" w:hAnsi="Aptos" w:cs="Aptos"/>
          <w:lang w:val="fr"/>
        </w:rPr>
        <w:t xml:space="preserve"> Comme indiqué précédemment, les sites choisis pour l’évaluation de précision sont sélectionnés en fonction du risque de schistosomiase au sein de la sous-UMO. Par conséquent, on ne peut tirer en toute confiance de ces enquêtes aucune estimation valable de la prévalence des HTS au niveau de l’UMO sans faire de fortes hypothèses. Malgré cette limitation, lors de la collecte de données sur les HTS, il faut toujours calculer des estimations de la prévalence des HTS au niveau du site, comme indiqué aux étapes 1 et 2 ci-dessus, afin de fournir des preuves de la charge des HTS sur le site.</w:t>
      </w:r>
    </w:p>
    <w:p w14:paraId="3F187F77" w14:textId="764AB2D1" w:rsidR="6EDEF3A1" w:rsidRDefault="12403FBE" w:rsidP="58B7F4CC">
      <w:pPr>
        <w:spacing w:after="160" w:line="276" w:lineRule="auto"/>
      </w:pPr>
      <w:r w:rsidRPr="58B7F4CC">
        <w:rPr>
          <w:rFonts w:ascii="Aptos" w:eastAsia="Aptos" w:hAnsi="Aptos" w:cs="Aptos"/>
          <w:b/>
          <w:bCs/>
          <w:i/>
          <w:iCs/>
          <w:sz w:val="24"/>
          <w:szCs w:val="24"/>
          <w:lang w:val="fr"/>
        </w:rPr>
        <w:t>Références</w:t>
      </w:r>
    </w:p>
    <w:p w14:paraId="47716060" w14:textId="12F0857B" w:rsidR="6EDEF3A1" w:rsidRDefault="12403FBE" w:rsidP="58B7F4CC">
      <w:r w:rsidRPr="58B7F4CC">
        <w:rPr>
          <w:rFonts w:ascii="Aptos" w:eastAsia="Aptos" w:hAnsi="Aptos" w:cs="Aptos"/>
          <w:sz w:val="24"/>
          <w:szCs w:val="24"/>
          <w:lang w:val="fr-FR"/>
        </w:rPr>
        <w:t>1.</w:t>
      </w:r>
      <w:r w:rsidR="6EDEF3A1">
        <w:tab/>
      </w:r>
      <w:proofErr w:type="spellStart"/>
      <w:r w:rsidRPr="58B7F4CC">
        <w:rPr>
          <w:rFonts w:ascii="Aptos" w:eastAsia="Aptos" w:hAnsi="Aptos" w:cs="Aptos"/>
          <w:sz w:val="24"/>
          <w:szCs w:val="24"/>
          <w:lang w:val="fr-FR"/>
        </w:rPr>
        <w:t>Soil-transmitted</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helminth</w:t>
      </w:r>
      <w:proofErr w:type="spellEnd"/>
      <w:r w:rsidRPr="58B7F4CC">
        <w:rPr>
          <w:rFonts w:ascii="Aptos" w:eastAsia="Aptos" w:hAnsi="Aptos" w:cs="Aptos"/>
          <w:sz w:val="24"/>
          <w:szCs w:val="24"/>
          <w:lang w:val="fr-FR"/>
        </w:rPr>
        <w:t xml:space="preserve"> infections. 2023. </w:t>
      </w:r>
      <w:hyperlink r:id="rId50">
        <w:r w:rsidRPr="58B7F4CC">
          <w:rPr>
            <w:rStyle w:val="Hyperlink"/>
            <w:rFonts w:ascii="Aptos" w:eastAsia="Aptos" w:hAnsi="Aptos" w:cs="Aptos"/>
            <w:color w:val="467886"/>
            <w:sz w:val="24"/>
            <w:szCs w:val="24"/>
            <w:lang w:val="fr-FR"/>
          </w:rPr>
          <w:t>https://www.who.int/news-room/fact-sheets/detail/soil-transmitted-helminth-infections</w:t>
        </w:r>
      </w:hyperlink>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accessed</w:t>
      </w:r>
      <w:proofErr w:type="spellEnd"/>
      <w:r w:rsidRPr="58B7F4CC">
        <w:rPr>
          <w:rFonts w:ascii="Aptos" w:eastAsia="Aptos" w:hAnsi="Aptos" w:cs="Aptos"/>
          <w:sz w:val="24"/>
          <w:szCs w:val="24"/>
          <w:lang w:val="fr-FR"/>
        </w:rPr>
        <w:t xml:space="preserve"> 2023-12-04).</w:t>
      </w:r>
    </w:p>
    <w:p w14:paraId="68448F35" w14:textId="324EEFAC" w:rsidR="6EDEF3A1" w:rsidRDefault="12403FBE" w:rsidP="58B7F4CC">
      <w:r w:rsidRPr="58B7F4CC">
        <w:rPr>
          <w:rFonts w:ascii="Aptos" w:eastAsia="Aptos" w:hAnsi="Aptos" w:cs="Aptos"/>
          <w:sz w:val="24"/>
          <w:szCs w:val="24"/>
          <w:lang w:val="fr-FR"/>
        </w:rPr>
        <w:t>2.</w:t>
      </w:r>
      <w:r w:rsidR="6EDEF3A1">
        <w:tab/>
      </w:r>
      <w:proofErr w:type="spellStart"/>
      <w:r w:rsidRPr="58B7F4CC">
        <w:rPr>
          <w:rFonts w:ascii="Aptos" w:eastAsia="Aptos" w:hAnsi="Aptos" w:cs="Aptos"/>
          <w:sz w:val="24"/>
          <w:szCs w:val="24"/>
          <w:lang w:val="fr-FR"/>
        </w:rPr>
        <w:t>Helminth</w:t>
      </w:r>
      <w:proofErr w:type="spellEnd"/>
      <w:r w:rsidRPr="58B7F4CC">
        <w:rPr>
          <w:rFonts w:ascii="Aptos" w:eastAsia="Aptos" w:hAnsi="Aptos" w:cs="Aptos"/>
          <w:sz w:val="24"/>
          <w:szCs w:val="24"/>
          <w:lang w:val="fr-FR"/>
        </w:rPr>
        <w:t xml:space="preserve"> control in </w:t>
      </w:r>
      <w:proofErr w:type="spellStart"/>
      <w:r w:rsidRPr="58B7F4CC">
        <w:rPr>
          <w:rFonts w:ascii="Aptos" w:eastAsia="Aptos" w:hAnsi="Aptos" w:cs="Aptos"/>
          <w:sz w:val="24"/>
          <w:szCs w:val="24"/>
          <w:lang w:val="fr-FR"/>
        </w:rPr>
        <w:t>school-age</w:t>
      </w:r>
      <w:proofErr w:type="spellEnd"/>
      <w:r w:rsidRPr="58B7F4CC">
        <w:rPr>
          <w:rFonts w:ascii="Aptos" w:eastAsia="Aptos" w:hAnsi="Aptos" w:cs="Aptos"/>
          <w:sz w:val="24"/>
          <w:szCs w:val="24"/>
          <w:lang w:val="fr-FR"/>
        </w:rPr>
        <w:t xml:space="preserve"> </w:t>
      </w:r>
      <w:proofErr w:type="spellStart"/>
      <w:proofErr w:type="gramStart"/>
      <w:r w:rsidRPr="58B7F4CC">
        <w:rPr>
          <w:rFonts w:ascii="Aptos" w:eastAsia="Aptos" w:hAnsi="Aptos" w:cs="Aptos"/>
          <w:sz w:val="24"/>
          <w:szCs w:val="24"/>
          <w:lang w:val="fr-FR"/>
        </w:rPr>
        <w:t>children</w:t>
      </w:r>
      <w:proofErr w:type="spellEnd"/>
      <w:r w:rsidRPr="58B7F4CC">
        <w:rPr>
          <w:rFonts w:ascii="Aptos" w:eastAsia="Aptos" w:hAnsi="Aptos" w:cs="Aptos"/>
          <w:sz w:val="24"/>
          <w:szCs w:val="24"/>
          <w:lang w:val="fr-FR"/>
        </w:rPr>
        <w:t>:</w:t>
      </w:r>
      <w:proofErr w:type="gram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a</w:t>
      </w:r>
      <w:proofErr w:type="spellEnd"/>
      <w:r w:rsidRPr="58B7F4CC">
        <w:rPr>
          <w:rFonts w:ascii="Aptos" w:eastAsia="Aptos" w:hAnsi="Aptos" w:cs="Aptos"/>
          <w:sz w:val="24"/>
          <w:szCs w:val="24"/>
          <w:lang w:val="fr-FR"/>
        </w:rPr>
        <w:t xml:space="preserve"> guide for managers of control programmes, 2nd </w:t>
      </w:r>
      <w:proofErr w:type="spellStart"/>
      <w:r w:rsidRPr="58B7F4CC">
        <w:rPr>
          <w:rFonts w:ascii="Aptos" w:eastAsia="Aptos" w:hAnsi="Aptos" w:cs="Aptos"/>
          <w:sz w:val="24"/>
          <w:szCs w:val="24"/>
          <w:lang w:val="fr-FR"/>
        </w:rPr>
        <w:t>ed</w:t>
      </w:r>
      <w:proofErr w:type="spellEnd"/>
      <w:r w:rsidRPr="58B7F4CC">
        <w:rPr>
          <w:rFonts w:ascii="Aptos" w:eastAsia="Aptos" w:hAnsi="Aptos" w:cs="Aptos"/>
          <w:sz w:val="24"/>
          <w:szCs w:val="24"/>
          <w:lang w:val="fr-FR"/>
        </w:rPr>
        <w:t xml:space="preserve">. </w:t>
      </w:r>
      <w:proofErr w:type="gramStart"/>
      <w:r w:rsidRPr="58B7F4CC">
        <w:rPr>
          <w:rFonts w:ascii="Aptos" w:eastAsia="Aptos" w:hAnsi="Aptos" w:cs="Aptos"/>
          <w:sz w:val="24"/>
          <w:szCs w:val="24"/>
          <w:lang w:val="fr-FR"/>
        </w:rPr>
        <w:t>Geneva:</w:t>
      </w:r>
      <w:proofErr w:type="gramEnd"/>
      <w:r w:rsidRPr="58B7F4CC">
        <w:rPr>
          <w:rFonts w:ascii="Aptos" w:eastAsia="Aptos" w:hAnsi="Aptos" w:cs="Aptos"/>
          <w:sz w:val="24"/>
          <w:szCs w:val="24"/>
          <w:lang w:val="fr-FR"/>
        </w:rPr>
        <w:t xml:space="preserve"> World </w:t>
      </w:r>
      <w:proofErr w:type="spellStart"/>
      <w:r w:rsidRPr="58B7F4CC">
        <w:rPr>
          <w:rFonts w:ascii="Aptos" w:eastAsia="Aptos" w:hAnsi="Aptos" w:cs="Aptos"/>
          <w:sz w:val="24"/>
          <w:szCs w:val="24"/>
          <w:lang w:val="fr-FR"/>
        </w:rPr>
        <w:t>Health</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Organization</w:t>
      </w:r>
      <w:proofErr w:type="spellEnd"/>
      <w:r w:rsidRPr="58B7F4CC">
        <w:rPr>
          <w:rFonts w:ascii="Aptos" w:eastAsia="Aptos" w:hAnsi="Aptos" w:cs="Aptos"/>
          <w:sz w:val="24"/>
          <w:szCs w:val="24"/>
          <w:lang w:val="fr-FR"/>
        </w:rPr>
        <w:t>; 2011.</w:t>
      </w:r>
    </w:p>
    <w:p w14:paraId="0C0AEEF8" w14:textId="6537C334" w:rsidR="6EDEF3A1" w:rsidRDefault="12403FBE" w:rsidP="58B7F4CC">
      <w:r w:rsidRPr="58B7F4CC">
        <w:rPr>
          <w:rFonts w:ascii="Aptos" w:eastAsia="Aptos" w:hAnsi="Aptos" w:cs="Aptos"/>
          <w:sz w:val="24"/>
          <w:szCs w:val="24"/>
          <w:lang w:val="fr-FR"/>
        </w:rPr>
        <w:t>3.</w:t>
      </w:r>
      <w:r w:rsidR="6EDEF3A1">
        <w:tab/>
      </w:r>
      <w:proofErr w:type="spellStart"/>
      <w:r w:rsidRPr="58B7F4CC">
        <w:rPr>
          <w:rFonts w:ascii="Aptos" w:eastAsia="Aptos" w:hAnsi="Aptos" w:cs="Aptos"/>
          <w:sz w:val="24"/>
          <w:szCs w:val="24"/>
          <w:lang w:val="fr-FR"/>
        </w:rPr>
        <w:t>Preventive</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chemotherapy</w:t>
      </w:r>
      <w:proofErr w:type="spellEnd"/>
      <w:r w:rsidRPr="58B7F4CC">
        <w:rPr>
          <w:rFonts w:ascii="Aptos" w:eastAsia="Aptos" w:hAnsi="Aptos" w:cs="Aptos"/>
          <w:sz w:val="24"/>
          <w:szCs w:val="24"/>
          <w:lang w:val="fr-FR"/>
        </w:rPr>
        <w:t xml:space="preserve"> to control </w:t>
      </w:r>
      <w:proofErr w:type="spellStart"/>
      <w:r w:rsidRPr="58B7F4CC">
        <w:rPr>
          <w:rFonts w:ascii="Aptos" w:eastAsia="Aptos" w:hAnsi="Aptos" w:cs="Aptos"/>
          <w:sz w:val="24"/>
          <w:szCs w:val="24"/>
          <w:lang w:val="fr-FR"/>
        </w:rPr>
        <w:t>soil-transmitted</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helminth</w:t>
      </w:r>
      <w:proofErr w:type="spellEnd"/>
      <w:r w:rsidRPr="58B7F4CC">
        <w:rPr>
          <w:rFonts w:ascii="Aptos" w:eastAsia="Aptos" w:hAnsi="Aptos" w:cs="Aptos"/>
          <w:sz w:val="24"/>
          <w:szCs w:val="24"/>
          <w:lang w:val="fr-FR"/>
        </w:rPr>
        <w:t xml:space="preserve"> infections in at-</w:t>
      </w:r>
      <w:proofErr w:type="spellStart"/>
      <w:r w:rsidRPr="58B7F4CC">
        <w:rPr>
          <w:rFonts w:ascii="Aptos" w:eastAsia="Aptos" w:hAnsi="Aptos" w:cs="Aptos"/>
          <w:sz w:val="24"/>
          <w:szCs w:val="24"/>
          <w:lang w:val="fr-FR"/>
        </w:rPr>
        <w:t>risk</w:t>
      </w:r>
      <w:proofErr w:type="spellEnd"/>
      <w:r w:rsidRPr="58B7F4CC">
        <w:rPr>
          <w:rFonts w:ascii="Aptos" w:eastAsia="Aptos" w:hAnsi="Aptos" w:cs="Aptos"/>
          <w:sz w:val="24"/>
          <w:szCs w:val="24"/>
          <w:lang w:val="fr-FR"/>
        </w:rPr>
        <w:t xml:space="preserve"> population groups. </w:t>
      </w:r>
      <w:proofErr w:type="gramStart"/>
      <w:r w:rsidRPr="58B7F4CC">
        <w:rPr>
          <w:rFonts w:ascii="Aptos" w:eastAsia="Aptos" w:hAnsi="Aptos" w:cs="Aptos"/>
          <w:sz w:val="24"/>
          <w:szCs w:val="24"/>
          <w:lang w:val="fr-FR"/>
        </w:rPr>
        <w:t>Geneva:</w:t>
      </w:r>
      <w:proofErr w:type="gramEnd"/>
      <w:r w:rsidRPr="58B7F4CC">
        <w:rPr>
          <w:rFonts w:ascii="Aptos" w:eastAsia="Aptos" w:hAnsi="Aptos" w:cs="Aptos"/>
          <w:sz w:val="24"/>
          <w:szCs w:val="24"/>
          <w:lang w:val="fr-FR"/>
        </w:rPr>
        <w:t xml:space="preserve"> World </w:t>
      </w:r>
      <w:proofErr w:type="spellStart"/>
      <w:r w:rsidRPr="58B7F4CC">
        <w:rPr>
          <w:rFonts w:ascii="Aptos" w:eastAsia="Aptos" w:hAnsi="Aptos" w:cs="Aptos"/>
          <w:sz w:val="24"/>
          <w:szCs w:val="24"/>
          <w:lang w:val="fr-FR"/>
        </w:rPr>
        <w:t>Health</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Organization</w:t>
      </w:r>
      <w:proofErr w:type="spellEnd"/>
      <w:r w:rsidRPr="58B7F4CC">
        <w:rPr>
          <w:rFonts w:ascii="Aptos" w:eastAsia="Aptos" w:hAnsi="Aptos" w:cs="Aptos"/>
          <w:sz w:val="24"/>
          <w:szCs w:val="24"/>
          <w:lang w:val="fr-FR"/>
        </w:rPr>
        <w:t>; 2017.</w:t>
      </w:r>
    </w:p>
    <w:p w14:paraId="066F9457" w14:textId="388C8D17" w:rsidR="6EDEF3A1" w:rsidRDefault="12403FBE" w:rsidP="58B7F4CC">
      <w:r w:rsidRPr="58B7F4CC">
        <w:rPr>
          <w:rFonts w:ascii="Aptos" w:eastAsia="Aptos" w:hAnsi="Aptos" w:cs="Aptos"/>
          <w:sz w:val="24"/>
          <w:szCs w:val="24"/>
          <w:lang w:val="fr-FR"/>
        </w:rPr>
        <w:t>4.</w:t>
      </w:r>
      <w:r w:rsidR="6EDEF3A1">
        <w:tab/>
      </w:r>
      <w:proofErr w:type="spellStart"/>
      <w:r w:rsidRPr="58B7F4CC">
        <w:rPr>
          <w:rFonts w:ascii="Aptos" w:eastAsia="Aptos" w:hAnsi="Aptos" w:cs="Aptos"/>
          <w:sz w:val="24"/>
          <w:szCs w:val="24"/>
          <w:lang w:val="fr-FR"/>
        </w:rPr>
        <w:t>Assessing</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schistosomiasis</w:t>
      </w:r>
      <w:proofErr w:type="spellEnd"/>
      <w:r w:rsidRPr="58B7F4CC">
        <w:rPr>
          <w:rFonts w:ascii="Aptos" w:eastAsia="Aptos" w:hAnsi="Aptos" w:cs="Aptos"/>
          <w:sz w:val="24"/>
          <w:szCs w:val="24"/>
          <w:lang w:val="fr-FR"/>
        </w:rPr>
        <w:t xml:space="preserve"> and </w:t>
      </w:r>
      <w:proofErr w:type="spellStart"/>
      <w:r w:rsidRPr="58B7F4CC">
        <w:rPr>
          <w:rFonts w:ascii="Aptos" w:eastAsia="Aptos" w:hAnsi="Aptos" w:cs="Aptos"/>
          <w:sz w:val="24"/>
          <w:szCs w:val="24"/>
          <w:lang w:val="fr-FR"/>
        </w:rPr>
        <w:t>soil-transmitted</w:t>
      </w:r>
      <w:proofErr w:type="spellEnd"/>
      <w:r w:rsidRPr="58B7F4CC">
        <w:rPr>
          <w:rFonts w:ascii="Aptos" w:eastAsia="Aptos" w:hAnsi="Aptos" w:cs="Aptos"/>
          <w:sz w:val="24"/>
          <w:szCs w:val="24"/>
          <w:lang w:val="fr-FR"/>
        </w:rPr>
        <w:t xml:space="preserve"> helminthiases control programmes Monitoring and </w:t>
      </w:r>
      <w:proofErr w:type="spellStart"/>
      <w:r w:rsidRPr="58B7F4CC">
        <w:rPr>
          <w:rFonts w:ascii="Aptos" w:eastAsia="Aptos" w:hAnsi="Aptos" w:cs="Aptos"/>
          <w:sz w:val="24"/>
          <w:szCs w:val="24"/>
          <w:lang w:val="fr-FR"/>
        </w:rPr>
        <w:t>evaluation</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framework</w:t>
      </w:r>
      <w:proofErr w:type="spellEnd"/>
      <w:r w:rsidRPr="58B7F4CC">
        <w:rPr>
          <w:rFonts w:ascii="Aptos" w:eastAsia="Aptos" w:hAnsi="Aptos" w:cs="Aptos"/>
          <w:sz w:val="24"/>
          <w:szCs w:val="24"/>
          <w:lang w:val="fr-FR"/>
        </w:rPr>
        <w:t xml:space="preserve"> - DRAFT. </w:t>
      </w:r>
      <w:proofErr w:type="gramStart"/>
      <w:r w:rsidRPr="58B7F4CC">
        <w:rPr>
          <w:rFonts w:ascii="Aptos" w:eastAsia="Aptos" w:hAnsi="Aptos" w:cs="Aptos"/>
          <w:sz w:val="24"/>
          <w:szCs w:val="24"/>
          <w:lang w:val="fr-FR"/>
        </w:rPr>
        <w:t>Geneva:</w:t>
      </w:r>
      <w:proofErr w:type="gramEnd"/>
      <w:r w:rsidRPr="58B7F4CC">
        <w:rPr>
          <w:rFonts w:ascii="Aptos" w:eastAsia="Aptos" w:hAnsi="Aptos" w:cs="Aptos"/>
          <w:sz w:val="24"/>
          <w:szCs w:val="24"/>
          <w:lang w:val="fr-FR"/>
        </w:rPr>
        <w:t xml:space="preserve"> World </w:t>
      </w:r>
      <w:proofErr w:type="spellStart"/>
      <w:r w:rsidRPr="58B7F4CC">
        <w:rPr>
          <w:rFonts w:ascii="Aptos" w:eastAsia="Aptos" w:hAnsi="Aptos" w:cs="Aptos"/>
          <w:sz w:val="24"/>
          <w:szCs w:val="24"/>
          <w:lang w:val="fr-FR"/>
        </w:rPr>
        <w:t>Health</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Organization</w:t>
      </w:r>
      <w:proofErr w:type="spellEnd"/>
      <w:r w:rsidRPr="58B7F4CC">
        <w:rPr>
          <w:rFonts w:ascii="Aptos" w:eastAsia="Aptos" w:hAnsi="Aptos" w:cs="Aptos"/>
          <w:sz w:val="24"/>
          <w:szCs w:val="24"/>
          <w:lang w:val="fr-FR"/>
        </w:rPr>
        <w:t>; 2024.</w:t>
      </w:r>
    </w:p>
    <w:p w14:paraId="7DAA2507" w14:textId="04A25742" w:rsidR="6EDEF3A1" w:rsidRDefault="12403FBE" w:rsidP="58B7F4CC">
      <w:r w:rsidRPr="58B7F4CC">
        <w:rPr>
          <w:rFonts w:ascii="Aptos" w:eastAsia="Aptos" w:hAnsi="Aptos" w:cs="Aptos"/>
          <w:sz w:val="24"/>
          <w:szCs w:val="24"/>
          <w:lang w:val="fr-FR"/>
        </w:rPr>
        <w:t>5.</w:t>
      </w:r>
      <w:r w:rsidR="6EDEF3A1">
        <w:tab/>
      </w:r>
      <w:proofErr w:type="spellStart"/>
      <w:r w:rsidRPr="58B7F4CC">
        <w:rPr>
          <w:rFonts w:ascii="Aptos" w:eastAsia="Aptos" w:hAnsi="Aptos" w:cs="Aptos"/>
          <w:sz w:val="24"/>
          <w:szCs w:val="24"/>
          <w:lang w:val="fr-FR"/>
        </w:rPr>
        <w:t>Ending</w:t>
      </w:r>
      <w:proofErr w:type="spellEnd"/>
      <w:r w:rsidRPr="58B7F4CC">
        <w:rPr>
          <w:rFonts w:ascii="Aptos" w:eastAsia="Aptos" w:hAnsi="Aptos" w:cs="Aptos"/>
          <w:sz w:val="24"/>
          <w:szCs w:val="24"/>
          <w:lang w:val="fr-FR"/>
        </w:rPr>
        <w:t xml:space="preserve"> the </w:t>
      </w:r>
      <w:proofErr w:type="spellStart"/>
      <w:r w:rsidRPr="58B7F4CC">
        <w:rPr>
          <w:rFonts w:ascii="Aptos" w:eastAsia="Aptos" w:hAnsi="Aptos" w:cs="Aptos"/>
          <w:sz w:val="24"/>
          <w:szCs w:val="24"/>
          <w:lang w:val="fr-FR"/>
        </w:rPr>
        <w:t>neglect</w:t>
      </w:r>
      <w:proofErr w:type="spellEnd"/>
      <w:r w:rsidRPr="58B7F4CC">
        <w:rPr>
          <w:rFonts w:ascii="Aptos" w:eastAsia="Aptos" w:hAnsi="Aptos" w:cs="Aptos"/>
          <w:sz w:val="24"/>
          <w:szCs w:val="24"/>
          <w:lang w:val="fr-FR"/>
        </w:rPr>
        <w:t xml:space="preserve"> to </w:t>
      </w:r>
      <w:proofErr w:type="spellStart"/>
      <w:r w:rsidRPr="58B7F4CC">
        <w:rPr>
          <w:rFonts w:ascii="Aptos" w:eastAsia="Aptos" w:hAnsi="Aptos" w:cs="Aptos"/>
          <w:sz w:val="24"/>
          <w:szCs w:val="24"/>
          <w:lang w:val="fr-FR"/>
        </w:rPr>
        <w:t>attain</w:t>
      </w:r>
      <w:proofErr w:type="spellEnd"/>
      <w:r w:rsidRPr="58B7F4CC">
        <w:rPr>
          <w:rFonts w:ascii="Aptos" w:eastAsia="Aptos" w:hAnsi="Aptos" w:cs="Aptos"/>
          <w:sz w:val="24"/>
          <w:szCs w:val="24"/>
          <w:lang w:val="fr-FR"/>
        </w:rPr>
        <w:t xml:space="preserve"> the </w:t>
      </w:r>
      <w:proofErr w:type="spellStart"/>
      <w:r w:rsidRPr="58B7F4CC">
        <w:rPr>
          <w:rFonts w:ascii="Aptos" w:eastAsia="Aptos" w:hAnsi="Aptos" w:cs="Aptos"/>
          <w:sz w:val="24"/>
          <w:szCs w:val="24"/>
          <w:lang w:val="fr-FR"/>
        </w:rPr>
        <w:t>Sustainable</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Development</w:t>
      </w:r>
      <w:proofErr w:type="spellEnd"/>
      <w:r w:rsidRPr="58B7F4CC">
        <w:rPr>
          <w:rFonts w:ascii="Aptos" w:eastAsia="Aptos" w:hAnsi="Aptos" w:cs="Aptos"/>
          <w:sz w:val="24"/>
          <w:szCs w:val="24"/>
          <w:lang w:val="fr-FR"/>
        </w:rPr>
        <w:t xml:space="preserve"> Goals – A road </w:t>
      </w:r>
      <w:proofErr w:type="spellStart"/>
      <w:r w:rsidRPr="58B7F4CC">
        <w:rPr>
          <w:rFonts w:ascii="Aptos" w:eastAsia="Aptos" w:hAnsi="Aptos" w:cs="Aptos"/>
          <w:sz w:val="24"/>
          <w:szCs w:val="24"/>
          <w:lang w:val="fr-FR"/>
        </w:rPr>
        <w:t>map</w:t>
      </w:r>
      <w:proofErr w:type="spellEnd"/>
      <w:r w:rsidRPr="58B7F4CC">
        <w:rPr>
          <w:rFonts w:ascii="Aptos" w:eastAsia="Aptos" w:hAnsi="Aptos" w:cs="Aptos"/>
          <w:sz w:val="24"/>
          <w:szCs w:val="24"/>
          <w:lang w:val="fr-FR"/>
        </w:rPr>
        <w:t xml:space="preserve"> for </w:t>
      </w:r>
      <w:proofErr w:type="spellStart"/>
      <w:r w:rsidRPr="58B7F4CC">
        <w:rPr>
          <w:rFonts w:ascii="Aptos" w:eastAsia="Aptos" w:hAnsi="Aptos" w:cs="Aptos"/>
          <w:sz w:val="24"/>
          <w:szCs w:val="24"/>
          <w:lang w:val="fr-FR"/>
        </w:rPr>
        <w:t>neglected</w:t>
      </w:r>
      <w:proofErr w:type="spellEnd"/>
      <w:r w:rsidRPr="58B7F4CC">
        <w:rPr>
          <w:rFonts w:ascii="Aptos" w:eastAsia="Aptos" w:hAnsi="Aptos" w:cs="Aptos"/>
          <w:sz w:val="24"/>
          <w:szCs w:val="24"/>
          <w:lang w:val="fr-FR"/>
        </w:rPr>
        <w:t xml:space="preserve"> tropical </w:t>
      </w:r>
      <w:proofErr w:type="spellStart"/>
      <w:r w:rsidRPr="58B7F4CC">
        <w:rPr>
          <w:rFonts w:ascii="Aptos" w:eastAsia="Aptos" w:hAnsi="Aptos" w:cs="Aptos"/>
          <w:sz w:val="24"/>
          <w:szCs w:val="24"/>
          <w:lang w:val="fr-FR"/>
        </w:rPr>
        <w:t>diseases</w:t>
      </w:r>
      <w:proofErr w:type="spellEnd"/>
      <w:r w:rsidRPr="58B7F4CC">
        <w:rPr>
          <w:rFonts w:ascii="Aptos" w:eastAsia="Aptos" w:hAnsi="Aptos" w:cs="Aptos"/>
          <w:sz w:val="24"/>
          <w:szCs w:val="24"/>
          <w:lang w:val="fr-FR"/>
        </w:rPr>
        <w:t xml:space="preserve"> 2021–2030. </w:t>
      </w:r>
      <w:proofErr w:type="gramStart"/>
      <w:r w:rsidRPr="58B7F4CC">
        <w:rPr>
          <w:rFonts w:ascii="Aptos" w:eastAsia="Aptos" w:hAnsi="Aptos" w:cs="Aptos"/>
          <w:sz w:val="24"/>
          <w:szCs w:val="24"/>
          <w:lang w:val="fr-FR"/>
        </w:rPr>
        <w:t>Geneva:</w:t>
      </w:r>
      <w:proofErr w:type="gramEnd"/>
      <w:r w:rsidRPr="58B7F4CC">
        <w:rPr>
          <w:rFonts w:ascii="Aptos" w:eastAsia="Aptos" w:hAnsi="Aptos" w:cs="Aptos"/>
          <w:sz w:val="24"/>
          <w:szCs w:val="24"/>
          <w:lang w:val="fr-FR"/>
        </w:rPr>
        <w:t xml:space="preserve"> World </w:t>
      </w:r>
      <w:proofErr w:type="spellStart"/>
      <w:r w:rsidRPr="58B7F4CC">
        <w:rPr>
          <w:rFonts w:ascii="Aptos" w:eastAsia="Aptos" w:hAnsi="Aptos" w:cs="Aptos"/>
          <w:sz w:val="24"/>
          <w:szCs w:val="24"/>
          <w:lang w:val="fr-FR"/>
        </w:rPr>
        <w:t>Health</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Organization</w:t>
      </w:r>
      <w:proofErr w:type="spellEnd"/>
      <w:r w:rsidRPr="58B7F4CC">
        <w:rPr>
          <w:rFonts w:ascii="Aptos" w:eastAsia="Aptos" w:hAnsi="Aptos" w:cs="Aptos"/>
          <w:sz w:val="24"/>
          <w:szCs w:val="24"/>
          <w:lang w:val="fr-FR"/>
        </w:rPr>
        <w:t>; 2020.</w:t>
      </w:r>
    </w:p>
    <w:p w14:paraId="2B3F0CE4" w14:textId="672CE1F8" w:rsidR="6EDEF3A1" w:rsidRDefault="12403FBE" w:rsidP="58B7F4CC">
      <w:r w:rsidRPr="58B7F4CC">
        <w:rPr>
          <w:rFonts w:ascii="Aptos" w:eastAsia="Aptos" w:hAnsi="Aptos" w:cs="Aptos"/>
          <w:sz w:val="24"/>
          <w:szCs w:val="24"/>
          <w:lang w:val="fr-FR"/>
        </w:rPr>
        <w:t>6.</w:t>
      </w:r>
      <w:r w:rsidR="6EDEF3A1">
        <w:tab/>
      </w:r>
      <w:r w:rsidRPr="58B7F4CC">
        <w:rPr>
          <w:rFonts w:ascii="Aptos" w:eastAsia="Aptos" w:hAnsi="Aptos" w:cs="Aptos"/>
          <w:sz w:val="24"/>
          <w:szCs w:val="24"/>
          <w:lang w:val="fr-FR"/>
        </w:rPr>
        <w:t xml:space="preserve">2030 </w:t>
      </w:r>
      <w:proofErr w:type="spellStart"/>
      <w:r w:rsidRPr="58B7F4CC">
        <w:rPr>
          <w:rFonts w:ascii="Aptos" w:eastAsia="Aptos" w:hAnsi="Aptos" w:cs="Aptos"/>
          <w:sz w:val="24"/>
          <w:szCs w:val="24"/>
          <w:lang w:val="fr-FR"/>
        </w:rPr>
        <w:t>targets</w:t>
      </w:r>
      <w:proofErr w:type="spellEnd"/>
      <w:r w:rsidRPr="58B7F4CC">
        <w:rPr>
          <w:rFonts w:ascii="Aptos" w:eastAsia="Aptos" w:hAnsi="Aptos" w:cs="Aptos"/>
          <w:sz w:val="24"/>
          <w:szCs w:val="24"/>
          <w:lang w:val="fr-FR"/>
        </w:rPr>
        <w:t xml:space="preserve"> for </w:t>
      </w:r>
      <w:proofErr w:type="spellStart"/>
      <w:r w:rsidRPr="58B7F4CC">
        <w:rPr>
          <w:rFonts w:ascii="Aptos" w:eastAsia="Aptos" w:hAnsi="Aptos" w:cs="Aptos"/>
          <w:sz w:val="24"/>
          <w:szCs w:val="24"/>
          <w:lang w:val="fr-FR"/>
        </w:rPr>
        <w:t>soil-transmitted</w:t>
      </w:r>
      <w:proofErr w:type="spellEnd"/>
      <w:r w:rsidRPr="58B7F4CC">
        <w:rPr>
          <w:rFonts w:ascii="Aptos" w:eastAsia="Aptos" w:hAnsi="Aptos" w:cs="Aptos"/>
          <w:sz w:val="24"/>
          <w:szCs w:val="24"/>
          <w:lang w:val="fr-FR"/>
        </w:rPr>
        <w:t xml:space="preserve"> helminthiases control programmes. </w:t>
      </w:r>
      <w:proofErr w:type="gramStart"/>
      <w:r w:rsidRPr="58B7F4CC">
        <w:rPr>
          <w:rFonts w:ascii="Aptos" w:eastAsia="Aptos" w:hAnsi="Aptos" w:cs="Aptos"/>
          <w:sz w:val="24"/>
          <w:szCs w:val="24"/>
          <w:lang w:val="fr-FR"/>
        </w:rPr>
        <w:t>Geneva:</w:t>
      </w:r>
      <w:proofErr w:type="gramEnd"/>
      <w:r w:rsidRPr="58B7F4CC">
        <w:rPr>
          <w:rFonts w:ascii="Aptos" w:eastAsia="Aptos" w:hAnsi="Aptos" w:cs="Aptos"/>
          <w:sz w:val="24"/>
          <w:szCs w:val="24"/>
          <w:lang w:val="fr-FR"/>
        </w:rPr>
        <w:t xml:space="preserve"> World </w:t>
      </w:r>
      <w:proofErr w:type="spellStart"/>
      <w:r w:rsidRPr="58B7F4CC">
        <w:rPr>
          <w:rFonts w:ascii="Aptos" w:eastAsia="Aptos" w:hAnsi="Aptos" w:cs="Aptos"/>
          <w:sz w:val="24"/>
          <w:szCs w:val="24"/>
          <w:lang w:val="fr-FR"/>
        </w:rPr>
        <w:t>Health</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Organization</w:t>
      </w:r>
      <w:proofErr w:type="spellEnd"/>
      <w:r w:rsidRPr="58B7F4CC">
        <w:rPr>
          <w:rFonts w:ascii="Aptos" w:eastAsia="Aptos" w:hAnsi="Aptos" w:cs="Aptos"/>
          <w:sz w:val="24"/>
          <w:szCs w:val="24"/>
          <w:lang w:val="fr-FR"/>
        </w:rPr>
        <w:t>; 2020.</w:t>
      </w:r>
    </w:p>
    <w:p w14:paraId="7705B6A1" w14:textId="1EF3C15C" w:rsidR="6EDEF3A1" w:rsidRDefault="12403FBE" w:rsidP="58B7F4CC">
      <w:r w:rsidRPr="58B7F4CC">
        <w:rPr>
          <w:rFonts w:ascii="Aptos" w:eastAsia="Aptos" w:hAnsi="Aptos" w:cs="Aptos"/>
          <w:sz w:val="24"/>
          <w:szCs w:val="24"/>
          <w:lang w:val="fr-FR"/>
        </w:rPr>
        <w:t>7.</w:t>
      </w:r>
      <w:r w:rsidR="6EDEF3A1">
        <w:tab/>
      </w:r>
      <w:r w:rsidRPr="58B7F4CC">
        <w:rPr>
          <w:rFonts w:ascii="Aptos" w:eastAsia="Aptos" w:hAnsi="Aptos" w:cs="Aptos"/>
          <w:sz w:val="24"/>
          <w:szCs w:val="24"/>
          <w:lang w:val="fr-FR"/>
        </w:rPr>
        <w:t xml:space="preserve">A compendium of </w:t>
      </w:r>
      <w:proofErr w:type="spellStart"/>
      <w:r w:rsidRPr="58B7F4CC">
        <w:rPr>
          <w:rFonts w:ascii="Aptos" w:eastAsia="Aptos" w:hAnsi="Aptos" w:cs="Aptos"/>
          <w:sz w:val="24"/>
          <w:szCs w:val="24"/>
          <w:lang w:val="fr-FR"/>
        </w:rPr>
        <w:t>indicators</w:t>
      </w:r>
      <w:proofErr w:type="spellEnd"/>
      <w:r w:rsidRPr="58B7F4CC">
        <w:rPr>
          <w:rFonts w:ascii="Aptos" w:eastAsia="Aptos" w:hAnsi="Aptos" w:cs="Aptos"/>
          <w:sz w:val="24"/>
          <w:szCs w:val="24"/>
          <w:lang w:val="fr-FR"/>
        </w:rPr>
        <w:t xml:space="preserve"> for monitoring and </w:t>
      </w:r>
      <w:proofErr w:type="spellStart"/>
      <w:r w:rsidRPr="58B7F4CC">
        <w:rPr>
          <w:rFonts w:ascii="Aptos" w:eastAsia="Aptos" w:hAnsi="Aptos" w:cs="Aptos"/>
          <w:sz w:val="24"/>
          <w:szCs w:val="24"/>
          <w:lang w:val="fr-FR"/>
        </w:rPr>
        <w:t>evaluating</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progress</w:t>
      </w:r>
      <w:proofErr w:type="spellEnd"/>
      <w:r w:rsidRPr="58B7F4CC">
        <w:rPr>
          <w:rFonts w:ascii="Aptos" w:eastAsia="Aptos" w:hAnsi="Aptos" w:cs="Aptos"/>
          <w:sz w:val="24"/>
          <w:szCs w:val="24"/>
          <w:lang w:val="fr-FR"/>
        </w:rPr>
        <w:t xml:space="preserve"> of the road </w:t>
      </w:r>
      <w:proofErr w:type="spellStart"/>
      <w:r w:rsidRPr="58B7F4CC">
        <w:rPr>
          <w:rFonts w:ascii="Aptos" w:eastAsia="Aptos" w:hAnsi="Aptos" w:cs="Aptos"/>
          <w:sz w:val="24"/>
          <w:szCs w:val="24"/>
          <w:lang w:val="fr-FR"/>
        </w:rPr>
        <w:t>map</w:t>
      </w:r>
      <w:proofErr w:type="spellEnd"/>
      <w:r w:rsidRPr="58B7F4CC">
        <w:rPr>
          <w:rFonts w:ascii="Aptos" w:eastAsia="Aptos" w:hAnsi="Aptos" w:cs="Aptos"/>
          <w:sz w:val="24"/>
          <w:szCs w:val="24"/>
          <w:lang w:val="fr-FR"/>
        </w:rPr>
        <w:t xml:space="preserve"> for </w:t>
      </w:r>
      <w:proofErr w:type="spellStart"/>
      <w:r w:rsidRPr="58B7F4CC">
        <w:rPr>
          <w:rFonts w:ascii="Aptos" w:eastAsia="Aptos" w:hAnsi="Aptos" w:cs="Aptos"/>
          <w:sz w:val="24"/>
          <w:szCs w:val="24"/>
          <w:lang w:val="fr-FR"/>
        </w:rPr>
        <w:t>neglected</w:t>
      </w:r>
      <w:proofErr w:type="spellEnd"/>
      <w:r w:rsidRPr="58B7F4CC">
        <w:rPr>
          <w:rFonts w:ascii="Aptos" w:eastAsia="Aptos" w:hAnsi="Aptos" w:cs="Aptos"/>
          <w:sz w:val="24"/>
          <w:szCs w:val="24"/>
          <w:lang w:val="fr-FR"/>
        </w:rPr>
        <w:t xml:space="preserve"> tropical </w:t>
      </w:r>
      <w:proofErr w:type="spellStart"/>
      <w:r w:rsidRPr="58B7F4CC">
        <w:rPr>
          <w:rFonts w:ascii="Aptos" w:eastAsia="Aptos" w:hAnsi="Aptos" w:cs="Aptos"/>
          <w:sz w:val="24"/>
          <w:szCs w:val="24"/>
          <w:lang w:val="fr-FR"/>
        </w:rPr>
        <w:t>diseases</w:t>
      </w:r>
      <w:proofErr w:type="spellEnd"/>
      <w:r w:rsidRPr="58B7F4CC">
        <w:rPr>
          <w:rFonts w:ascii="Aptos" w:eastAsia="Aptos" w:hAnsi="Aptos" w:cs="Aptos"/>
          <w:sz w:val="24"/>
          <w:szCs w:val="24"/>
          <w:lang w:val="fr-FR"/>
        </w:rPr>
        <w:t xml:space="preserve"> 2021–2030. </w:t>
      </w:r>
      <w:proofErr w:type="gramStart"/>
      <w:r w:rsidRPr="58B7F4CC">
        <w:rPr>
          <w:rFonts w:ascii="Aptos" w:eastAsia="Aptos" w:hAnsi="Aptos" w:cs="Aptos"/>
          <w:sz w:val="24"/>
          <w:szCs w:val="24"/>
          <w:lang w:val="fr-FR"/>
        </w:rPr>
        <w:t>Geneva:</w:t>
      </w:r>
      <w:proofErr w:type="gramEnd"/>
      <w:r w:rsidRPr="58B7F4CC">
        <w:rPr>
          <w:rFonts w:ascii="Aptos" w:eastAsia="Aptos" w:hAnsi="Aptos" w:cs="Aptos"/>
          <w:sz w:val="24"/>
          <w:szCs w:val="24"/>
          <w:lang w:val="fr-FR"/>
        </w:rPr>
        <w:t xml:space="preserve"> World </w:t>
      </w:r>
      <w:proofErr w:type="spellStart"/>
      <w:r w:rsidRPr="58B7F4CC">
        <w:rPr>
          <w:rFonts w:ascii="Aptos" w:eastAsia="Aptos" w:hAnsi="Aptos" w:cs="Aptos"/>
          <w:sz w:val="24"/>
          <w:szCs w:val="24"/>
          <w:lang w:val="fr-FR"/>
        </w:rPr>
        <w:t>Health</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Organization</w:t>
      </w:r>
      <w:proofErr w:type="spellEnd"/>
      <w:r w:rsidRPr="58B7F4CC">
        <w:rPr>
          <w:rFonts w:ascii="Aptos" w:eastAsia="Aptos" w:hAnsi="Aptos" w:cs="Aptos"/>
          <w:sz w:val="24"/>
          <w:szCs w:val="24"/>
          <w:lang w:val="fr-FR"/>
        </w:rPr>
        <w:t>; 2022.</w:t>
      </w:r>
    </w:p>
    <w:p w14:paraId="20B5DCCF" w14:textId="30BC3969" w:rsidR="6EDEF3A1" w:rsidRDefault="12403FBE" w:rsidP="58B7F4CC">
      <w:r w:rsidRPr="58B7F4CC">
        <w:rPr>
          <w:rFonts w:ascii="Aptos" w:eastAsia="Aptos" w:hAnsi="Aptos" w:cs="Aptos"/>
          <w:sz w:val="24"/>
          <w:szCs w:val="24"/>
          <w:lang w:val="fr-FR"/>
        </w:rPr>
        <w:t>8.</w:t>
      </w:r>
      <w:r w:rsidR="6EDEF3A1">
        <w:tab/>
      </w:r>
      <w:r w:rsidRPr="58B7F4CC">
        <w:rPr>
          <w:rFonts w:ascii="Aptos" w:eastAsia="Aptos" w:hAnsi="Aptos" w:cs="Aptos"/>
          <w:sz w:val="24"/>
          <w:szCs w:val="24"/>
          <w:lang w:val="fr-FR"/>
        </w:rPr>
        <w:t xml:space="preserve">Guide for Mapping </w:t>
      </w:r>
      <w:proofErr w:type="spellStart"/>
      <w:r w:rsidRPr="58B7F4CC">
        <w:rPr>
          <w:rFonts w:ascii="Aptos" w:eastAsia="Aptos" w:hAnsi="Aptos" w:cs="Aptos"/>
          <w:sz w:val="24"/>
          <w:szCs w:val="24"/>
          <w:lang w:val="fr-FR"/>
        </w:rPr>
        <w:t>Neglected</w:t>
      </w:r>
      <w:proofErr w:type="spellEnd"/>
      <w:r w:rsidRPr="58B7F4CC">
        <w:rPr>
          <w:rFonts w:ascii="Aptos" w:eastAsia="Aptos" w:hAnsi="Aptos" w:cs="Aptos"/>
          <w:sz w:val="24"/>
          <w:szCs w:val="24"/>
          <w:lang w:val="fr-FR"/>
        </w:rPr>
        <w:t xml:space="preserve"> Tropical </w:t>
      </w:r>
      <w:proofErr w:type="spellStart"/>
      <w:r w:rsidRPr="58B7F4CC">
        <w:rPr>
          <w:rFonts w:ascii="Aptos" w:eastAsia="Aptos" w:hAnsi="Aptos" w:cs="Aptos"/>
          <w:sz w:val="24"/>
          <w:szCs w:val="24"/>
          <w:lang w:val="fr-FR"/>
        </w:rPr>
        <w:t>Diseases</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Amenable</w:t>
      </w:r>
      <w:proofErr w:type="spellEnd"/>
      <w:r w:rsidRPr="58B7F4CC">
        <w:rPr>
          <w:rFonts w:ascii="Aptos" w:eastAsia="Aptos" w:hAnsi="Aptos" w:cs="Aptos"/>
          <w:sz w:val="24"/>
          <w:szCs w:val="24"/>
          <w:lang w:val="fr-FR"/>
        </w:rPr>
        <w:t xml:space="preserve"> to </w:t>
      </w:r>
      <w:proofErr w:type="spellStart"/>
      <w:r w:rsidRPr="58B7F4CC">
        <w:rPr>
          <w:rFonts w:ascii="Aptos" w:eastAsia="Aptos" w:hAnsi="Aptos" w:cs="Aptos"/>
          <w:sz w:val="24"/>
          <w:szCs w:val="24"/>
          <w:lang w:val="fr-FR"/>
        </w:rPr>
        <w:t>Preventive</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Chemotherapy</w:t>
      </w:r>
      <w:proofErr w:type="spellEnd"/>
      <w:r w:rsidRPr="58B7F4CC">
        <w:rPr>
          <w:rFonts w:ascii="Aptos" w:eastAsia="Aptos" w:hAnsi="Aptos" w:cs="Aptos"/>
          <w:sz w:val="24"/>
          <w:szCs w:val="24"/>
          <w:lang w:val="fr-FR"/>
        </w:rPr>
        <w:t xml:space="preserve"> in the </w:t>
      </w:r>
      <w:proofErr w:type="spellStart"/>
      <w:r w:rsidRPr="58B7F4CC">
        <w:rPr>
          <w:rFonts w:ascii="Aptos" w:eastAsia="Aptos" w:hAnsi="Aptos" w:cs="Aptos"/>
          <w:sz w:val="24"/>
          <w:szCs w:val="24"/>
          <w:lang w:val="fr-FR"/>
        </w:rPr>
        <w:t>African</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Region</w:t>
      </w:r>
      <w:proofErr w:type="spellEnd"/>
      <w:r w:rsidRPr="58B7F4CC">
        <w:rPr>
          <w:rFonts w:ascii="Aptos" w:eastAsia="Aptos" w:hAnsi="Aptos" w:cs="Aptos"/>
          <w:sz w:val="24"/>
          <w:szCs w:val="24"/>
          <w:lang w:val="fr-FR"/>
        </w:rPr>
        <w:t xml:space="preserve">. </w:t>
      </w:r>
      <w:proofErr w:type="gramStart"/>
      <w:r w:rsidRPr="58B7F4CC">
        <w:rPr>
          <w:rFonts w:ascii="Aptos" w:eastAsia="Aptos" w:hAnsi="Aptos" w:cs="Aptos"/>
          <w:sz w:val="24"/>
          <w:szCs w:val="24"/>
          <w:lang w:val="fr-FR"/>
        </w:rPr>
        <w:t>Geneva:</w:t>
      </w:r>
      <w:proofErr w:type="gramEnd"/>
      <w:r w:rsidRPr="58B7F4CC">
        <w:rPr>
          <w:rFonts w:ascii="Aptos" w:eastAsia="Aptos" w:hAnsi="Aptos" w:cs="Aptos"/>
          <w:sz w:val="24"/>
          <w:szCs w:val="24"/>
          <w:lang w:val="fr-FR"/>
        </w:rPr>
        <w:t xml:space="preserve"> World </w:t>
      </w:r>
      <w:proofErr w:type="spellStart"/>
      <w:r w:rsidRPr="58B7F4CC">
        <w:rPr>
          <w:rFonts w:ascii="Aptos" w:eastAsia="Aptos" w:hAnsi="Aptos" w:cs="Aptos"/>
          <w:sz w:val="24"/>
          <w:szCs w:val="24"/>
          <w:lang w:val="fr-FR"/>
        </w:rPr>
        <w:t>Health</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Organization</w:t>
      </w:r>
      <w:proofErr w:type="spellEnd"/>
      <w:r w:rsidRPr="58B7F4CC">
        <w:rPr>
          <w:rFonts w:ascii="Aptos" w:eastAsia="Aptos" w:hAnsi="Aptos" w:cs="Aptos"/>
          <w:sz w:val="24"/>
          <w:szCs w:val="24"/>
          <w:lang w:val="fr-FR"/>
        </w:rPr>
        <w:t>; 2018.</w:t>
      </w:r>
    </w:p>
    <w:p w14:paraId="4F778D0A" w14:textId="7C1AD8A0" w:rsidR="6EDEF3A1" w:rsidRDefault="12403FBE" w:rsidP="58B7F4CC">
      <w:pPr>
        <w:spacing w:after="160"/>
      </w:pPr>
      <w:r w:rsidRPr="58B7F4CC">
        <w:rPr>
          <w:rFonts w:ascii="Aptos" w:eastAsia="Aptos" w:hAnsi="Aptos" w:cs="Aptos"/>
          <w:sz w:val="24"/>
          <w:szCs w:val="24"/>
          <w:lang w:val="fr-FR"/>
        </w:rPr>
        <w:t>9.</w:t>
      </w:r>
      <w:r w:rsidR="6EDEF3A1">
        <w:tab/>
      </w:r>
      <w:r w:rsidRPr="58B7F4CC">
        <w:rPr>
          <w:rFonts w:ascii="Aptos" w:eastAsia="Aptos" w:hAnsi="Aptos" w:cs="Aptos"/>
          <w:sz w:val="24"/>
          <w:szCs w:val="24"/>
          <w:lang w:val="fr-FR"/>
        </w:rPr>
        <w:t xml:space="preserve">Bench </w:t>
      </w:r>
      <w:proofErr w:type="spellStart"/>
      <w:r w:rsidRPr="58B7F4CC">
        <w:rPr>
          <w:rFonts w:ascii="Aptos" w:eastAsia="Aptos" w:hAnsi="Aptos" w:cs="Aptos"/>
          <w:sz w:val="24"/>
          <w:szCs w:val="24"/>
          <w:lang w:val="fr-FR"/>
        </w:rPr>
        <w:t>aids</w:t>
      </w:r>
      <w:proofErr w:type="spellEnd"/>
      <w:r w:rsidRPr="58B7F4CC">
        <w:rPr>
          <w:rFonts w:ascii="Aptos" w:eastAsia="Aptos" w:hAnsi="Aptos" w:cs="Aptos"/>
          <w:sz w:val="24"/>
          <w:szCs w:val="24"/>
          <w:lang w:val="fr-FR"/>
        </w:rPr>
        <w:t xml:space="preserve"> for the </w:t>
      </w:r>
      <w:proofErr w:type="spellStart"/>
      <w:r w:rsidRPr="58B7F4CC">
        <w:rPr>
          <w:rFonts w:ascii="Aptos" w:eastAsia="Aptos" w:hAnsi="Aptos" w:cs="Aptos"/>
          <w:sz w:val="24"/>
          <w:szCs w:val="24"/>
          <w:lang w:val="fr-FR"/>
        </w:rPr>
        <w:t>diagnosis</w:t>
      </w:r>
      <w:proofErr w:type="spellEnd"/>
      <w:r w:rsidRPr="58B7F4CC">
        <w:rPr>
          <w:rFonts w:ascii="Aptos" w:eastAsia="Aptos" w:hAnsi="Aptos" w:cs="Aptos"/>
          <w:sz w:val="24"/>
          <w:szCs w:val="24"/>
          <w:lang w:val="fr-FR"/>
        </w:rPr>
        <w:t xml:space="preserve"> of intestinal parasites, second </w:t>
      </w:r>
      <w:proofErr w:type="spellStart"/>
      <w:r w:rsidRPr="58B7F4CC">
        <w:rPr>
          <w:rFonts w:ascii="Aptos" w:eastAsia="Aptos" w:hAnsi="Aptos" w:cs="Aptos"/>
          <w:sz w:val="24"/>
          <w:szCs w:val="24"/>
          <w:lang w:val="fr-FR"/>
        </w:rPr>
        <w:t>edition</w:t>
      </w:r>
      <w:proofErr w:type="spellEnd"/>
      <w:r w:rsidRPr="58B7F4CC">
        <w:rPr>
          <w:rFonts w:ascii="Aptos" w:eastAsia="Aptos" w:hAnsi="Aptos" w:cs="Aptos"/>
          <w:sz w:val="24"/>
          <w:szCs w:val="24"/>
          <w:lang w:val="fr-FR"/>
        </w:rPr>
        <w:t xml:space="preserve">. </w:t>
      </w:r>
      <w:proofErr w:type="gramStart"/>
      <w:r w:rsidRPr="58B7F4CC">
        <w:rPr>
          <w:rFonts w:ascii="Aptos" w:eastAsia="Aptos" w:hAnsi="Aptos" w:cs="Aptos"/>
          <w:sz w:val="24"/>
          <w:szCs w:val="24"/>
          <w:lang w:val="fr-FR"/>
        </w:rPr>
        <w:t>In:</w:t>
      </w:r>
      <w:proofErr w:type="gramEnd"/>
      <w:r w:rsidRPr="58B7F4CC">
        <w:rPr>
          <w:rFonts w:ascii="Aptos" w:eastAsia="Aptos" w:hAnsi="Aptos" w:cs="Aptos"/>
          <w:sz w:val="24"/>
          <w:szCs w:val="24"/>
          <w:lang w:val="fr-FR"/>
        </w:rPr>
        <w:t xml:space="preserve"> IGO. LCB-N-S, editor. </w:t>
      </w:r>
      <w:proofErr w:type="gramStart"/>
      <w:r w:rsidRPr="58B7F4CC">
        <w:rPr>
          <w:rFonts w:ascii="Aptos" w:eastAsia="Aptos" w:hAnsi="Aptos" w:cs="Aptos"/>
          <w:sz w:val="24"/>
          <w:szCs w:val="24"/>
          <w:lang w:val="fr-FR"/>
        </w:rPr>
        <w:t>Geneva:</w:t>
      </w:r>
      <w:proofErr w:type="gramEnd"/>
      <w:r w:rsidRPr="58B7F4CC">
        <w:rPr>
          <w:rFonts w:ascii="Aptos" w:eastAsia="Aptos" w:hAnsi="Aptos" w:cs="Aptos"/>
          <w:sz w:val="24"/>
          <w:szCs w:val="24"/>
          <w:lang w:val="fr-FR"/>
        </w:rPr>
        <w:t xml:space="preserve"> World </w:t>
      </w:r>
      <w:proofErr w:type="spellStart"/>
      <w:r w:rsidRPr="58B7F4CC">
        <w:rPr>
          <w:rFonts w:ascii="Aptos" w:eastAsia="Aptos" w:hAnsi="Aptos" w:cs="Aptos"/>
          <w:sz w:val="24"/>
          <w:szCs w:val="24"/>
          <w:lang w:val="fr-FR"/>
        </w:rPr>
        <w:t>Health</w:t>
      </w:r>
      <w:proofErr w:type="spellEnd"/>
      <w:r w:rsidRPr="58B7F4CC">
        <w:rPr>
          <w:rFonts w:ascii="Aptos" w:eastAsia="Aptos" w:hAnsi="Aptos" w:cs="Aptos"/>
          <w:sz w:val="24"/>
          <w:szCs w:val="24"/>
          <w:lang w:val="fr-FR"/>
        </w:rPr>
        <w:t xml:space="preserve"> </w:t>
      </w:r>
      <w:proofErr w:type="spellStart"/>
      <w:r w:rsidRPr="58B7F4CC">
        <w:rPr>
          <w:rFonts w:ascii="Aptos" w:eastAsia="Aptos" w:hAnsi="Aptos" w:cs="Aptos"/>
          <w:sz w:val="24"/>
          <w:szCs w:val="24"/>
          <w:lang w:val="fr-FR"/>
        </w:rPr>
        <w:t>Organization</w:t>
      </w:r>
      <w:proofErr w:type="spellEnd"/>
      <w:r w:rsidRPr="58B7F4CC">
        <w:rPr>
          <w:rFonts w:ascii="Aptos" w:eastAsia="Aptos" w:hAnsi="Aptos" w:cs="Aptos"/>
          <w:sz w:val="24"/>
          <w:szCs w:val="24"/>
          <w:lang w:val="fr-FR"/>
        </w:rPr>
        <w:t>; 2019.</w:t>
      </w:r>
    </w:p>
    <w:p w14:paraId="2C024B50" w14:textId="175A83CC" w:rsidR="6EDEF3A1" w:rsidRDefault="6EDEF3A1" w:rsidP="6EDEF3A1">
      <w:pPr>
        <w:rPr>
          <w:lang w:val="fr"/>
        </w:rPr>
      </w:pPr>
    </w:p>
    <w:p w14:paraId="0D8F6DF0" w14:textId="0A3B3347" w:rsidR="6EDEF3A1" w:rsidRDefault="6EDEF3A1">
      <w:r>
        <w:br w:type="page"/>
      </w:r>
    </w:p>
    <w:p w14:paraId="461FBC3B" w14:textId="0BE04709" w:rsidR="4B5EA7CE" w:rsidRDefault="4B5EA7CE" w:rsidP="6EDEF3A1">
      <w:pPr>
        <w:pStyle w:val="Heading1"/>
        <w:ind w:left="0"/>
      </w:pPr>
      <w:bookmarkStart w:id="85" w:name="_Toc181011896"/>
      <w:r w:rsidRPr="6EDEF3A1">
        <w:rPr>
          <w:lang w:val="fr-FR"/>
        </w:rPr>
        <w:lastRenderedPageBreak/>
        <w:t xml:space="preserve">Annexe 7 : Évaluation de T. </w:t>
      </w:r>
      <w:proofErr w:type="spellStart"/>
      <w:r w:rsidRPr="6EDEF3A1">
        <w:rPr>
          <w:lang w:val="fr-FR"/>
        </w:rPr>
        <w:t>solium</w:t>
      </w:r>
      <w:proofErr w:type="spellEnd"/>
      <w:r w:rsidRPr="6EDEF3A1">
        <w:rPr>
          <w:lang w:val="fr-FR"/>
        </w:rPr>
        <w:t xml:space="preserve"> au cours de la SPPA</w:t>
      </w:r>
      <w:bookmarkEnd w:id="85"/>
    </w:p>
    <w:p w14:paraId="7E15F1B2" w14:textId="0D905D69" w:rsidR="6EDEF3A1" w:rsidRDefault="6EDEF3A1" w:rsidP="6EDEF3A1">
      <w:pPr>
        <w:spacing w:after="160" w:line="276" w:lineRule="auto"/>
        <w:rPr>
          <w:rFonts w:ascii="Aptos" w:eastAsia="Aptos" w:hAnsi="Aptos" w:cs="Aptos"/>
          <w:i/>
          <w:iCs/>
          <w:sz w:val="24"/>
          <w:szCs w:val="24"/>
          <w:lang w:val="fr"/>
        </w:rPr>
      </w:pPr>
    </w:p>
    <w:p w14:paraId="7E636C5A" w14:textId="10338A48" w:rsidR="4B5EA7CE" w:rsidRDefault="4B5EA7CE" w:rsidP="6EDEF3A1">
      <w:pPr>
        <w:spacing w:after="160" w:line="276" w:lineRule="auto"/>
      </w:pPr>
      <w:r w:rsidRPr="6EDEF3A1">
        <w:rPr>
          <w:rFonts w:ascii="Aptos" w:eastAsia="Aptos" w:hAnsi="Aptos" w:cs="Aptos"/>
          <w:i/>
          <w:iCs/>
          <w:sz w:val="24"/>
          <w:szCs w:val="24"/>
          <w:lang w:val="fr"/>
        </w:rPr>
        <w:t>Vue d'ensemble</w:t>
      </w:r>
    </w:p>
    <w:p w14:paraId="1D308323" w14:textId="33E2DE8E" w:rsidR="4B5EA7CE" w:rsidRDefault="4B5EA7CE" w:rsidP="6EDEF3A1">
      <w:pPr>
        <w:spacing w:after="160" w:line="276" w:lineRule="auto"/>
      </w:pPr>
      <w:r w:rsidRPr="6EDEF3A1">
        <w:rPr>
          <w:rFonts w:ascii="Aptos" w:eastAsia="Aptos" w:hAnsi="Aptos" w:cs="Aptos"/>
          <w:lang w:val="fr-FR"/>
        </w:rPr>
        <w:t xml:space="preserve">La </w:t>
      </w:r>
      <w:proofErr w:type="spellStart"/>
      <w:r w:rsidRPr="6EDEF3A1">
        <w:rPr>
          <w:rFonts w:ascii="Aptos" w:eastAsia="Aptos" w:hAnsi="Aptos" w:cs="Aptos"/>
          <w:lang w:val="fr-FR"/>
        </w:rPr>
        <w:t>tæniase</w:t>
      </w:r>
      <w:proofErr w:type="spellEnd"/>
      <w:r w:rsidRPr="6EDEF3A1">
        <w:rPr>
          <w:rFonts w:ascii="Aptos" w:eastAsia="Aptos" w:hAnsi="Aptos" w:cs="Aptos"/>
          <w:lang w:val="fr-FR"/>
        </w:rPr>
        <w:t xml:space="preserve"> est une infection causée par des ténias du genre </w:t>
      </w:r>
      <w:proofErr w:type="spellStart"/>
      <w:r w:rsidRPr="6EDEF3A1">
        <w:rPr>
          <w:rFonts w:ascii="Aptos" w:eastAsia="Aptos" w:hAnsi="Aptos" w:cs="Aptos"/>
          <w:i/>
          <w:iCs/>
          <w:lang w:val="fr-FR"/>
        </w:rPr>
        <w:t>Taenia</w:t>
      </w:r>
      <w:proofErr w:type="spellEnd"/>
      <w:r w:rsidRPr="6EDEF3A1">
        <w:rPr>
          <w:rFonts w:ascii="Aptos" w:eastAsia="Aptos" w:hAnsi="Aptos" w:cs="Aptos"/>
          <w:lang w:val="fr-FR"/>
        </w:rPr>
        <w:t xml:space="preserve">, qui peuvent infecter l'homme en consommant de la viande insuffisamment cuite ou contaminée. Trois espèces principales peuvent infecter l'homme :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proofErr w:type="spellStart"/>
      <w:r w:rsidRPr="6EDEF3A1">
        <w:rPr>
          <w:rFonts w:ascii="Aptos" w:eastAsia="Aptos" w:hAnsi="Aptos" w:cs="Aptos"/>
          <w:i/>
          <w:iCs/>
          <w:lang w:val="fr-FR"/>
        </w:rPr>
        <w:t>solium</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(provenant de la viande de porc),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proofErr w:type="spellStart"/>
      <w:r w:rsidRPr="6EDEF3A1">
        <w:rPr>
          <w:rFonts w:ascii="Aptos" w:eastAsia="Aptos" w:hAnsi="Aptos" w:cs="Aptos"/>
          <w:i/>
          <w:iCs/>
          <w:lang w:val="fr-FR"/>
        </w:rPr>
        <w:t>saginata</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(provenant de la viande de bœuf) et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proofErr w:type="spellStart"/>
      <w:r w:rsidRPr="6EDEF3A1">
        <w:rPr>
          <w:rFonts w:ascii="Aptos" w:eastAsia="Aptos" w:hAnsi="Aptos" w:cs="Aptos"/>
          <w:i/>
          <w:iCs/>
          <w:lang w:val="fr-FR"/>
        </w:rPr>
        <w:t>asiatica</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(provenant également de la viande de porc mais sans importance pour la santé publique).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proofErr w:type="spellStart"/>
      <w:r w:rsidRPr="6EDEF3A1">
        <w:rPr>
          <w:rFonts w:ascii="Aptos" w:eastAsia="Aptos" w:hAnsi="Aptos" w:cs="Aptos"/>
          <w:i/>
          <w:iCs/>
          <w:lang w:val="fr-FR"/>
        </w:rPr>
        <w:t>solium</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est particulièrement préoccupant parce qu'il ne provoque pas seulement la </w:t>
      </w:r>
      <w:proofErr w:type="spellStart"/>
      <w:r w:rsidRPr="6EDEF3A1">
        <w:rPr>
          <w:rFonts w:ascii="Aptos" w:eastAsia="Aptos" w:hAnsi="Aptos" w:cs="Aptos"/>
          <w:lang w:val="fr-FR"/>
        </w:rPr>
        <w:t>taeniase</w:t>
      </w:r>
      <w:proofErr w:type="spellEnd"/>
      <w:r w:rsidRPr="6EDEF3A1">
        <w:rPr>
          <w:rFonts w:ascii="Aptos" w:eastAsia="Aptos" w:hAnsi="Aptos" w:cs="Aptos"/>
          <w:lang w:val="fr-FR"/>
        </w:rPr>
        <w:t xml:space="preserve"> intestinale, mais également l'infection par les stades larvaires qui peut conduire à la cysticercose, y compris la </w:t>
      </w:r>
      <w:proofErr w:type="spellStart"/>
      <w:r w:rsidRPr="6EDEF3A1">
        <w:rPr>
          <w:rFonts w:ascii="Aptos" w:eastAsia="Aptos" w:hAnsi="Aptos" w:cs="Aptos"/>
          <w:lang w:val="fr-FR"/>
        </w:rPr>
        <w:t>neurocysticercose</w:t>
      </w:r>
      <w:proofErr w:type="spellEnd"/>
      <w:r w:rsidRPr="6EDEF3A1">
        <w:rPr>
          <w:rFonts w:ascii="Aptos" w:eastAsia="Aptos" w:hAnsi="Aptos" w:cs="Aptos"/>
          <w:lang w:val="fr-FR"/>
        </w:rPr>
        <w:t xml:space="preserve">, une affection grave dans laquelle les larves migrent vers le cerveau, provoquant des complications neurologiques. La </w:t>
      </w:r>
      <w:proofErr w:type="spellStart"/>
      <w:r w:rsidRPr="6EDEF3A1">
        <w:rPr>
          <w:rFonts w:ascii="Aptos" w:eastAsia="Aptos" w:hAnsi="Aptos" w:cs="Aptos"/>
          <w:lang w:val="fr-FR"/>
        </w:rPr>
        <w:t>neurocysticercose</w:t>
      </w:r>
      <w:proofErr w:type="spellEnd"/>
      <w:r w:rsidRPr="6EDEF3A1">
        <w:rPr>
          <w:rFonts w:ascii="Aptos" w:eastAsia="Aptos" w:hAnsi="Aptos" w:cs="Aptos"/>
          <w:lang w:val="fr-FR"/>
        </w:rPr>
        <w:t xml:space="preserve"> est la principale cause d'épilepsie acquise (et évitable) là où le parasite existe. Une cuisson et des pratiques d'hygiène appropriées sont essentielles pour prévenir l'infection par ces parasites </w:t>
      </w:r>
      <w:hyperlink r:id="rId51">
        <w:r w:rsidRPr="6EDEF3A1">
          <w:rPr>
            <w:rStyle w:val="Hyperlink"/>
            <w:rFonts w:ascii="Aptos" w:eastAsia="Aptos" w:hAnsi="Aptos" w:cs="Aptos"/>
            <w:color w:val="467886"/>
            <w:lang w:val="fr-FR"/>
          </w:rPr>
          <w:t>(</w:t>
        </w:r>
      </w:hyperlink>
      <w:r w:rsidRPr="6EDEF3A1">
        <w:rPr>
          <w:rFonts w:ascii="Aptos" w:eastAsia="Aptos" w:hAnsi="Aptos" w:cs="Aptos"/>
          <w:lang w:val="fr-FR"/>
        </w:rPr>
        <w:t>https://www.who.int/multi-media/details/a-one-health-approach-to-tackling-the-pork-tapeworm).</w:t>
      </w:r>
    </w:p>
    <w:p w14:paraId="34AFDBDE" w14:textId="2F54A8D5" w:rsidR="4B5EA7CE" w:rsidRDefault="4B5EA7CE" w:rsidP="6EDEF3A1">
      <w:pPr>
        <w:spacing w:after="160" w:line="276" w:lineRule="auto"/>
      </w:pPr>
      <w:r w:rsidRPr="6EDEF3A1">
        <w:rPr>
          <w:rFonts w:ascii="Aptos" w:eastAsia="Aptos" w:hAnsi="Aptos" w:cs="Aptos"/>
          <w:lang w:val="fr-FR"/>
        </w:rPr>
        <w:t xml:space="preserve">Les programmes de lutte contre la schistosomiase doivent évaluer la présence de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proofErr w:type="spellStart"/>
      <w:r w:rsidRPr="6EDEF3A1">
        <w:rPr>
          <w:rFonts w:ascii="Aptos" w:eastAsia="Aptos" w:hAnsi="Aptos" w:cs="Aptos"/>
          <w:i/>
          <w:iCs/>
          <w:lang w:val="fr-FR"/>
        </w:rPr>
        <w:t>solium</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car le praziquantel, médicament couramment utilisé pour traiter la schistosomiase, peut déclencher des réactions neurologiques indésirables graves chez les personnes infectées à leur insu par </w:t>
      </w:r>
      <w:r w:rsidRPr="6EDEF3A1">
        <w:rPr>
          <w:rFonts w:ascii="Aptos" w:eastAsia="Aptos" w:hAnsi="Aptos" w:cs="Aptos"/>
          <w:i/>
          <w:iCs/>
          <w:lang w:val="fr-FR"/>
        </w:rPr>
        <w:t xml:space="preserve">T. </w:t>
      </w:r>
      <w:proofErr w:type="spellStart"/>
      <w:r w:rsidRPr="6EDEF3A1">
        <w:rPr>
          <w:rFonts w:ascii="Aptos" w:eastAsia="Aptos" w:hAnsi="Aptos" w:cs="Aptos"/>
          <w:i/>
          <w:iCs/>
          <w:lang w:val="fr-FR"/>
        </w:rPr>
        <w:t>solium</w:t>
      </w:r>
      <w:proofErr w:type="spellEnd"/>
      <w:r w:rsidRPr="6EDEF3A1">
        <w:rPr>
          <w:rFonts w:ascii="Aptos" w:eastAsia="Aptos" w:hAnsi="Aptos" w:cs="Aptos"/>
          <w:lang w:val="fr-FR"/>
        </w:rPr>
        <w:t xml:space="preserve"> en cas de </w:t>
      </w:r>
      <w:proofErr w:type="spellStart"/>
      <w:r w:rsidRPr="6EDEF3A1">
        <w:rPr>
          <w:rFonts w:ascii="Aptos" w:eastAsia="Aptos" w:hAnsi="Aptos" w:cs="Aptos"/>
          <w:lang w:val="fr-FR"/>
        </w:rPr>
        <w:t>neurocysticercose</w:t>
      </w:r>
      <w:proofErr w:type="spellEnd"/>
      <w:r w:rsidRPr="6EDEF3A1">
        <w:rPr>
          <w:rFonts w:ascii="Aptos" w:eastAsia="Aptos" w:hAnsi="Aptos" w:cs="Aptos"/>
          <w:lang w:val="fr-FR"/>
        </w:rPr>
        <w:t xml:space="preserve">. L'identification et la prise en charge des infections à </w:t>
      </w:r>
      <w:r w:rsidRPr="6EDEF3A1">
        <w:rPr>
          <w:rFonts w:ascii="Aptos" w:eastAsia="Aptos" w:hAnsi="Aptos" w:cs="Aptos"/>
          <w:i/>
          <w:iCs/>
          <w:lang w:val="fr-FR"/>
        </w:rPr>
        <w:t xml:space="preserve">T. </w:t>
      </w:r>
      <w:proofErr w:type="spellStart"/>
      <w:r w:rsidRPr="6EDEF3A1">
        <w:rPr>
          <w:rFonts w:ascii="Aptos" w:eastAsia="Aptos" w:hAnsi="Aptos" w:cs="Aptos"/>
          <w:i/>
          <w:iCs/>
          <w:lang w:val="fr-FR"/>
        </w:rPr>
        <w:t>solium</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avant l'administration de praziquantel sont cruciales pour éviter ces complications potentiellement mortelles </w:t>
      </w:r>
      <w:hyperlink r:id="rId52">
        <w:r w:rsidRPr="6EDEF3A1">
          <w:rPr>
            <w:rStyle w:val="Hyperlink"/>
            <w:rFonts w:ascii="Aptos" w:eastAsia="Aptos" w:hAnsi="Aptos" w:cs="Aptos"/>
            <w:color w:val="467886"/>
            <w:lang w:val="fr-FR"/>
          </w:rPr>
          <w:t>(</w:t>
        </w:r>
      </w:hyperlink>
      <w:r w:rsidRPr="6EDEF3A1">
        <w:rPr>
          <w:rFonts w:ascii="Aptos" w:eastAsia="Aptos" w:hAnsi="Aptos" w:cs="Aptos"/>
          <w:lang w:val="fr-FR"/>
        </w:rPr>
        <w:t xml:space="preserve">https://www.who.int/publications/i/item/9789240068117, </w:t>
      </w:r>
      <w:hyperlink r:id="rId53">
        <w:r w:rsidRPr="6EDEF3A1">
          <w:rPr>
            <w:rStyle w:val="Hyperlink"/>
            <w:rFonts w:ascii="Aptos" w:eastAsia="Aptos" w:hAnsi="Aptos" w:cs="Aptos"/>
            <w:lang w:val="fr-FR"/>
          </w:rPr>
          <w:t>https://www.who.int/publications/i/item/9789240068131</w:t>
        </w:r>
      </w:hyperlink>
      <w:r w:rsidRPr="6EDEF3A1">
        <w:rPr>
          <w:rFonts w:ascii="Aptos" w:eastAsia="Aptos" w:hAnsi="Aptos" w:cs="Aptos"/>
          <w:lang w:val="fr-FR"/>
        </w:rPr>
        <w:t xml:space="preserve">). </w:t>
      </w:r>
    </w:p>
    <w:p w14:paraId="32DE2EFD" w14:textId="5373C488" w:rsidR="4B5EA7CE" w:rsidRDefault="4B5EA7CE" w:rsidP="6EDEF3A1">
      <w:pPr>
        <w:spacing w:after="160" w:line="276" w:lineRule="auto"/>
      </w:pPr>
      <w:r w:rsidRPr="6EDEF3A1">
        <w:rPr>
          <w:rFonts w:ascii="Aptos" w:eastAsia="Aptos" w:hAnsi="Aptos" w:cs="Aptos"/>
          <w:i/>
          <w:iCs/>
          <w:sz w:val="24"/>
          <w:szCs w:val="24"/>
          <w:lang w:val="fr-FR"/>
        </w:rPr>
        <w:t xml:space="preserve">Quand inclure une évaluation de T. </w:t>
      </w:r>
      <w:proofErr w:type="spellStart"/>
      <w:r w:rsidRPr="6EDEF3A1">
        <w:rPr>
          <w:rFonts w:ascii="Aptos" w:eastAsia="Aptos" w:hAnsi="Aptos" w:cs="Aptos"/>
          <w:i/>
          <w:iCs/>
          <w:sz w:val="24"/>
          <w:szCs w:val="24"/>
          <w:lang w:val="fr-FR"/>
        </w:rPr>
        <w:t>solium</w:t>
      </w:r>
      <w:proofErr w:type="spellEnd"/>
      <w:r w:rsidRPr="6EDEF3A1">
        <w:rPr>
          <w:rFonts w:ascii="Aptos" w:eastAsia="Aptos" w:hAnsi="Aptos" w:cs="Aptos"/>
          <w:i/>
          <w:iCs/>
          <w:sz w:val="24"/>
          <w:szCs w:val="24"/>
          <w:lang w:val="fr-FR"/>
        </w:rPr>
        <w:t xml:space="preserve"> ? </w:t>
      </w:r>
    </w:p>
    <w:p w14:paraId="3D6C70F5" w14:textId="3025A400" w:rsidR="4B5EA7CE" w:rsidRDefault="4B5EA7CE" w:rsidP="6EDEF3A1">
      <w:pPr>
        <w:spacing w:after="160" w:line="276" w:lineRule="auto"/>
      </w:pPr>
      <w:r w:rsidRPr="6EDEF3A1">
        <w:rPr>
          <w:rFonts w:ascii="Aptos" w:eastAsia="Aptos" w:hAnsi="Aptos" w:cs="Aptos"/>
          <w:lang w:val="fr-FR"/>
        </w:rPr>
        <w:t xml:space="preserve">Si la zone de mise en œuvre est connue pour avoir des porcs en divagation </w:t>
      </w:r>
      <w:r w:rsidRPr="6EDEF3A1">
        <w:rPr>
          <w:rFonts w:ascii="Aptos" w:eastAsia="Aptos" w:hAnsi="Aptos" w:cs="Aptos"/>
          <w:b/>
          <w:bCs/>
          <w:lang w:val="fr-FR"/>
        </w:rPr>
        <w:t xml:space="preserve">ET </w:t>
      </w:r>
      <w:r w:rsidRPr="6EDEF3A1">
        <w:rPr>
          <w:rFonts w:ascii="Aptos" w:eastAsia="Aptos" w:hAnsi="Aptos" w:cs="Aptos"/>
          <w:lang w:val="fr-FR"/>
        </w:rPr>
        <w:t xml:space="preserve">des pratiques de défécation à l'air libre, le programme est encouragé à évaluer les lames de Kato-Katz pour le </w:t>
      </w:r>
      <w:proofErr w:type="spellStart"/>
      <w:r w:rsidRPr="6EDEF3A1">
        <w:rPr>
          <w:rFonts w:ascii="Aptos" w:eastAsia="Aptos" w:hAnsi="Aptos" w:cs="Aptos"/>
          <w:lang w:val="fr-FR"/>
        </w:rPr>
        <w:t>taeniasis</w:t>
      </w:r>
      <w:proofErr w:type="spellEnd"/>
      <w:r w:rsidRPr="6EDEF3A1">
        <w:rPr>
          <w:rFonts w:ascii="Aptos" w:eastAsia="Aptos" w:hAnsi="Aptos" w:cs="Aptos"/>
          <w:lang w:val="fr-FR"/>
        </w:rPr>
        <w:t xml:space="preserve">, en gardant à l'esprit que les œufs de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r w:rsidRPr="6EDEF3A1">
        <w:rPr>
          <w:rFonts w:ascii="Aptos" w:eastAsia="Aptos" w:hAnsi="Aptos" w:cs="Aptos"/>
          <w:lang w:val="fr-FR"/>
        </w:rPr>
        <w:t>sont beaucoup plus petits que les œufs de schistosome.  Par porcs en divagation, nous entendons les porcs qui ont pu être en liberté à n'importe quel moment de leur vie, par exemple lorsqu'ils étaient porcelets, même s'ils sont gardés dans des enclos par la suite.</w:t>
      </w:r>
    </w:p>
    <w:p w14:paraId="323AD9A6" w14:textId="1907FA55" w:rsidR="4B5EA7CE" w:rsidRDefault="4B5EA7CE" w:rsidP="6EDEF3A1">
      <w:pPr>
        <w:spacing w:after="160" w:line="276" w:lineRule="auto"/>
      </w:pPr>
      <w:r w:rsidRPr="6EDEF3A1">
        <w:rPr>
          <w:rFonts w:ascii="Aptos" w:eastAsia="Aptos" w:hAnsi="Aptos" w:cs="Aptos"/>
          <w:i/>
          <w:iCs/>
          <w:sz w:val="24"/>
          <w:szCs w:val="24"/>
          <w:lang w:val="fr-FR"/>
        </w:rPr>
        <w:t xml:space="preserve">Diagnostiquer T. </w:t>
      </w:r>
      <w:proofErr w:type="spellStart"/>
      <w:r w:rsidRPr="6EDEF3A1">
        <w:rPr>
          <w:rFonts w:ascii="Aptos" w:eastAsia="Aptos" w:hAnsi="Aptos" w:cs="Aptos"/>
          <w:i/>
          <w:iCs/>
          <w:sz w:val="24"/>
          <w:szCs w:val="24"/>
          <w:lang w:val="fr-FR"/>
        </w:rPr>
        <w:t>solium</w:t>
      </w:r>
      <w:proofErr w:type="spellEnd"/>
      <w:r w:rsidRPr="6EDEF3A1">
        <w:rPr>
          <w:rFonts w:ascii="Aptos" w:eastAsia="Aptos" w:hAnsi="Aptos" w:cs="Aptos"/>
          <w:i/>
          <w:iCs/>
          <w:sz w:val="24"/>
          <w:szCs w:val="24"/>
          <w:lang w:val="fr-FR"/>
        </w:rPr>
        <w:t xml:space="preserve"> : </w:t>
      </w:r>
    </w:p>
    <w:p w14:paraId="1F491C1B" w14:textId="6B1DCA31" w:rsidR="4B5EA7CE" w:rsidRDefault="4B5EA7CE" w:rsidP="6EDEF3A1">
      <w:pPr>
        <w:spacing w:after="160" w:line="276" w:lineRule="auto"/>
      </w:pPr>
      <w:r w:rsidRPr="6EDEF3A1">
        <w:rPr>
          <w:rFonts w:ascii="Aptos" w:eastAsia="Aptos" w:hAnsi="Aptos" w:cs="Aptos"/>
          <w:lang w:val="fr-FR"/>
        </w:rPr>
        <w:t xml:space="preserve">Si l'une des lames de Kato-Katz contient des œufs de </w:t>
      </w:r>
      <w:proofErr w:type="spellStart"/>
      <w:r w:rsidRPr="6EDEF3A1">
        <w:rPr>
          <w:rFonts w:ascii="Aptos" w:eastAsia="Aptos" w:hAnsi="Aptos" w:cs="Aptos"/>
          <w:i/>
          <w:iCs/>
          <w:lang w:val="fr-FR"/>
        </w:rPr>
        <w:t>Taenia</w:t>
      </w:r>
      <w:proofErr w:type="spellEnd"/>
      <w:r w:rsidRPr="6EDEF3A1">
        <w:rPr>
          <w:rFonts w:ascii="Aptos" w:eastAsia="Aptos" w:hAnsi="Aptos" w:cs="Aptos"/>
          <w:lang w:val="fr-FR"/>
        </w:rPr>
        <w:t>, l'</w:t>
      </w:r>
      <w:r w:rsidRPr="6EDEF3A1">
        <w:rPr>
          <w:rFonts w:ascii="Aptos" w:eastAsia="Aptos" w:hAnsi="Aptos" w:cs="Aptos"/>
          <w:b/>
          <w:bCs/>
          <w:lang w:val="fr-FR"/>
        </w:rPr>
        <w:t xml:space="preserve">espèce de </w:t>
      </w:r>
      <w:proofErr w:type="spellStart"/>
      <w:r w:rsidRPr="6EDEF3A1">
        <w:rPr>
          <w:rFonts w:ascii="Aptos" w:eastAsia="Aptos" w:hAnsi="Aptos" w:cs="Aptos"/>
          <w:b/>
          <w:bCs/>
          <w:i/>
          <w:iCs/>
          <w:lang w:val="fr-FR"/>
        </w:rPr>
        <w:t>Taenia</w:t>
      </w:r>
      <w:proofErr w:type="spellEnd"/>
      <w:r w:rsidRPr="6EDEF3A1">
        <w:rPr>
          <w:rFonts w:ascii="Aptos" w:eastAsia="Aptos" w:hAnsi="Aptos" w:cs="Aptos"/>
          <w:b/>
          <w:bCs/>
          <w:i/>
          <w:iCs/>
          <w:lang w:val="fr-FR"/>
        </w:rPr>
        <w:t xml:space="preserve"> </w:t>
      </w:r>
      <w:r w:rsidRPr="6EDEF3A1">
        <w:rPr>
          <w:rFonts w:ascii="Aptos" w:eastAsia="Aptos" w:hAnsi="Aptos" w:cs="Aptos"/>
          <w:b/>
          <w:bCs/>
          <w:lang w:val="fr-FR"/>
        </w:rPr>
        <w:t>doit être confirmée</w:t>
      </w:r>
      <w:r w:rsidRPr="6EDEF3A1">
        <w:rPr>
          <w:rFonts w:ascii="Aptos" w:eastAsia="Aptos" w:hAnsi="Aptos" w:cs="Aptos"/>
          <w:lang w:val="fr-FR"/>
        </w:rPr>
        <w:t xml:space="preserve">, car les œufs de </w:t>
      </w:r>
      <w:r w:rsidRPr="6EDEF3A1">
        <w:rPr>
          <w:rFonts w:ascii="Aptos" w:eastAsia="Aptos" w:hAnsi="Aptos" w:cs="Aptos"/>
          <w:i/>
          <w:iCs/>
          <w:lang w:val="fr-FR"/>
        </w:rPr>
        <w:t xml:space="preserve">T. </w:t>
      </w:r>
      <w:proofErr w:type="spellStart"/>
      <w:r w:rsidRPr="6EDEF3A1">
        <w:rPr>
          <w:rFonts w:ascii="Aptos" w:eastAsia="Aptos" w:hAnsi="Aptos" w:cs="Aptos"/>
          <w:i/>
          <w:iCs/>
          <w:lang w:val="fr-FR"/>
        </w:rPr>
        <w:t>solium</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ne peuvent être distingués de ceux d'autres espèces de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telles que </w:t>
      </w:r>
      <w:r w:rsidRPr="6EDEF3A1">
        <w:rPr>
          <w:rFonts w:ascii="Aptos" w:eastAsia="Aptos" w:hAnsi="Aptos" w:cs="Aptos"/>
          <w:i/>
          <w:iCs/>
          <w:lang w:val="fr-FR"/>
        </w:rPr>
        <w:t xml:space="preserve">T. </w:t>
      </w:r>
      <w:proofErr w:type="spellStart"/>
      <w:r w:rsidRPr="6EDEF3A1">
        <w:rPr>
          <w:rFonts w:ascii="Aptos" w:eastAsia="Aptos" w:hAnsi="Aptos" w:cs="Aptos"/>
          <w:i/>
          <w:iCs/>
          <w:lang w:val="fr-FR"/>
        </w:rPr>
        <w:t>saginata</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ou </w:t>
      </w:r>
      <w:r w:rsidRPr="6EDEF3A1">
        <w:rPr>
          <w:rFonts w:ascii="Aptos" w:eastAsia="Aptos" w:hAnsi="Aptos" w:cs="Aptos"/>
          <w:i/>
          <w:iCs/>
          <w:lang w:val="fr-FR"/>
        </w:rPr>
        <w:t xml:space="preserve">T. </w:t>
      </w:r>
      <w:proofErr w:type="spellStart"/>
      <w:r w:rsidRPr="6EDEF3A1">
        <w:rPr>
          <w:rFonts w:ascii="Aptos" w:eastAsia="Aptos" w:hAnsi="Aptos" w:cs="Aptos"/>
          <w:i/>
          <w:iCs/>
          <w:lang w:val="fr-FR"/>
        </w:rPr>
        <w:t>asiatica</w:t>
      </w:r>
      <w:proofErr w:type="spellEnd"/>
      <w:r w:rsidRPr="6EDEF3A1">
        <w:rPr>
          <w:rFonts w:ascii="Aptos" w:eastAsia="Aptos" w:hAnsi="Aptos" w:cs="Aptos"/>
          <w:lang w:val="fr-FR"/>
        </w:rPr>
        <w:t>, qui ne posent pas de problème grave de santé publique.</w:t>
      </w:r>
    </w:p>
    <w:p w14:paraId="57166296" w14:textId="57FE89D4" w:rsidR="4B5EA7CE" w:rsidRDefault="4B5EA7CE" w:rsidP="6EDEF3A1">
      <w:pPr>
        <w:pStyle w:val="ListParagraph"/>
        <w:numPr>
          <w:ilvl w:val="0"/>
          <w:numId w:val="4"/>
        </w:numPr>
        <w:tabs>
          <w:tab w:val="left" w:pos="0"/>
          <w:tab w:val="left" w:pos="720"/>
        </w:tabs>
        <w:spacing w:after="160" w:line="276" w:lineRule="auto"/>
        <w:rPr>
          <w:rFonts w:ascii="Aptos" w:eastAsia="Aptos" w:hAnsi="Aptos" w:cs="Aptos"/>
          <w:lang w:val="fr-FR"/>
        </w:rPr>
      </w:pPr>
      <w:r w:rsidRPr="6EDEF3A1">
        <w:rPr>
          <w:rFonts w:ascii="Aptos" w:eastAsia="Aptos" w:hAnsi="Aptos" w:cs="Aptos"/>
          <w:lang w:val="fr-FR"/>
        </w:rPr>
        <w:t xml:space="preserve">Les espèces de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r w:rsidRPr="6EDEF3A1">
        <w:rPr>
          <w:rFonts w:ascii="Aptos" w:eastAsia="Aptos" w:hAnsi="Aptos" w:cs="Aptos"/>
          <w:lang w:val="fr-FR"/>
        </w:rPr>
        <w:t>peuvent être confirmées par des méthodes moléculaires ou par un examen parasitologique direct (identification de la personne positive, médicaments et collecte des proglottis et du scolex, le cas échéant).</w:t>
      </w:r>
    </w:p>
    <w:p w14:paraId="40DDE20D" w14:textId="5BE900C0" w:rsidR="4B5EA7CE" w:rsidRDefault="4B5EA7CE" w:rsidP="6EDEF3A1">
      <w:pPr>
        <w:pStyle w:val="ListParagraph"/>
        <w:numPr>
          <w:ilvl w:val="0"/>
          <w:numId w:val="4"/>
        </w:numPr>
        <w:tabs>
          <w:tab w:val="left" w:pos="0"/>
          <w:tab w:val="left" w:pos="720"/>
        </w:tabs>
        <w:spacing w:after="160" w:line="276" w:lineRule="auto"/>
        <w:rPr>
          <w:rFonts w:ascii="Aptos" w:eastAsia="Aptos" w:hAnsi="Aptos" w:cs="Aptos"/>
          <w:lang w:val="fr-FR"/>
        </w:rPr>
      </w:pPr>
      <w:r w:rsidRPr="6EDEF3A1">
        <w:rPr>
          <w:rFonts w:ascii="Aptos" w:eastAsia="Aptos" w:hAnsi="Aptos" w:cs="Aptos"/>
          <w:lang w:val="fr-FR"/>
        </w:rPr>
        <w:t xml:space="preserve">Pour confirmer l'espèce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par des méthodes moléculaires, les échantillons peuvent être conservés dans de l'éthanol (recueillir environ 2 à 5 g de fèces dans au moins le double du volume d'éthanol à 95 %). </w:t>
      </w:r>
      <w:r w:rsidRPr="6EDEF3A1">
        <w:rPr>
          <w:rFonts w:ascii="Aptos" w:eastAsia="Aptos" w:hAnsi="Aptos" w:cs="Aptos"/>
          <w:lang w:val="fr-FR"/>
        </w:rPr>
        <w:lastRenderedPageBreak/>
        <w:t>Les échantillons peuvent être conservés à température ambiante dans l'obscurité pendant 5 à 6 jours avant d'être stockés dans l'éthanol. Il est ainsi possible d'effectuer d'abord le test de Kato-Katz et de ne conserver que les échantillons positifs dans l'éthanol.</w:t>
      </w:r>
    </w:p>
    <w:p w14:paraId="456C468E" w14:textId="3DBA4F1A" w:rsidR="4B5EA7CE" w:rsidRDefault="4B5EA7CE" w:rsidP="6EDEF3A1">
      <w:pPr>
        <w:spacing w:after="160" w:line="276" w:lineRule="auto"/>
      </w:pPr>
      <w:r w:rsidRPr="6EDEF3A1">
        <w:rPr>
          <w:rFonts w:ascii="Aptos" w:eastAsia="Aptos" w:hAnsi="Aptos" w:cs="Aptos"/>
          <w:b/>
          <w:bCs/>
          <w:sz w:val="24"/>
          <w:szCs w:val="24"/>
          <w:lang w:val="fr-FR"/>
        </w:rPr>
        <w:t xml:space="preserve">Comment interpréter les résultats de </w:t>
      </w:r>
      <w:r w:rsidRPr="6EDEF3A1">
        <w:rPr>
          <w:rFonts w:ascii="Aptos" w:eastAsia="Aptos" w:hAnsi="Aptos" w:cs="Aptos"/>
          <w:b/>
          <w:bCs/>
          <w:i/>
          <w:iCs/>
          <w:sz w:val="24"/>
          <w:szCs w:val="24"/>
          <w:lang w:val="fr-FR"/>
        </w:rPr>
        <w:t xml:space="preserve">T. </w:t>
      </w:r>
      <w:proofErr w:type="spellStart"/>
      <w:r w:rsidRPr="6EDEF3A1">
        <w:rPr>
          <w:rFonts w:ascii="Aptos" w:eastAsia="Aptos" w:hAnsi="Aptos" w:cs="Aptos"/>
          <w:b/>
          <w:bCs/>
          <w:i/>
          <w:iCs/>
          <w:sz w:val="24"/>
          <w:szCs w:val="24"/>
          <w:lang w:val="fr-FR"/>
        </w:rPr>
        <w:t>solium</w:t>
      </w:r>
      <w:proofErr w:type="spellEnd"/>
      <w:r w:rsidRPr="6EDEF3A1">
        <w:rPr>
          <w:rFonts w:ascii="Aptos" w:eastAsia="Aptos" w:hAnsi="Aptos" w:cs="Aptos"/>
          <w:b/>
          <w:bCs/>
          <w:i/>
          <w:iCs/>
          <w:sz w:val="24"/>
          <w:szCs w:val="24"/>
          <w:lang w:val="fr-FR"/>
        </w:rPr>
        <w:t xml:space="preserve"> :</w:t>
      </w:r>
    </w:p>
    <w:p w14:paraId="2469418D" w14:textId="2391690D" w:rsidR="4B5EA7CE" w:rsidRDefault="4B5EA7CE" w:rsidP="6EDEF3A1">
      <w:pPr>
        <w:spacing w:after="160" w:line="276" w:lineRule="auto"/>
      </w:pPr>
      <w:r w:rsidRPr="6EDEF3A1">
        <w:rPr>
          <w:rFonts w:ascii="Aptos" w:eastAsia="Aptos" w:hAnsi="Aptos" w:cs="Aptos"/>
          <w:lang w:val="fr-FR"/>
        </w:rPr>
        <w:t xml:space="preserve">Si la présence de </w:t>
      </w:r>
      <w:proofErr w:type="spellStart"/>
      <w:r w:rsidRPr="6EDEF3A1">
        <w:rPr>
          <w:rFonts w:ascii="Aptos" w:eastAsia="Aptos" w:hAnsi="Aptos" w:cs="Aptos"/>
          <w:i/>
          <w:iCs/>
          <w:lang w:val="fr-FR"/>
        </w:rPr>
        <w:t>Taenia</w:t>
      </w:r>
      <w:proofErr w:type="spellEnd"/>
      <w:r w:rsidRPr="6EDEF3A1">
        <w:rPr>
          <w:rFonts w:ascii="Aptos" w:eastAsia="Aptos" w:hAnsi="Aptos" w:cs="Aptos"/>
          <w:i/>
          <w:iCs/>
          <w:lang w:val="fr-FR"/>
        </w:rPr>
        <w:t xml:space="preserve"> </w:t>
      </w:r>
      <w:proofErr w:type="spellStart"/>
      <w:r w:rsidRPr="6EDEF3A1">
        <w:rPr>
          <w:rFonts w:ascii="Aptos" w:eastAsia="Aptos" w:hAnsi="Aptos" w:cs="Aptos"/>
          <w:i/>
          <w:iCs/>
          <w:lang w:val="fr-FR"/>
        </w:rPr>
        <w:t>solium</w:t>
      </w:r>
      <w:proofErr w:type="spellEnd"/>
      <w:r w:rsidRPr="6EDEF3A1">
        <w:rPr>
          <w:rFonts w:ascii="Aptos" w:eastAsia="Aptos" w:hAnsi="Aptos" w:cs="Aptos"/>
          <w:i/>
          <w:iCs/>
          <w:lang w:val="fr-FR"/>
        </w:rPr>
        <w:t xml:space="preserve"> </w:t>
      </w:r>
      <w:r w:rsidRPr="6EDEF3A1">
        <w:rPr>
          <w:rFonts w:ascii="Aptos" w:eastAsia="Aptos" w:hAnsi="Aptos" w:cs="Aptos"/>
          <w:lang w:val="fr-FR"/>
        </w:rPr>
        <w:t xml:space="preserve">est confirmée, cela indique qu'il y a transmission.  Le seuil suggéré pour déclencher une intervention de santé publique pour le cas de </w:t>
      </w:r>
      <w:proofErr w:type="spellStart"/>
      <w:r w:rsidRPr="6EDEF3A1">
        <w:rPr>
          <w:rFonts w:ascii="Aptos" w:eastAsia="Aptos" w:hAnsi="Aptos" w:cs="Aptos"/>
          <w:lang w:val="fr-FR"/>
        </w:rPr>
        <w:t>taeniasis</w:t>
      </w:r>
      <w:proofErr w:type="spellEnd"/>
      <w:r w:rsidRPr="6EDEF3A1">
        <w:rPr>
          <w:rFonts w:ascii="Aptos" w:eastAsia="Aptos" w:hAnsi="Aptos" w:cs="Aptos"/>
          <w:lang w:val="fr-FR"/>
        </w:rPr>
        <w:t xml:space="preserve"> à </w:t>
      </w:r>
      <w:r w:rsidRPr="6EDEF3A1">
        <w:rPr>
          <w:rFonts w:ascii="Aptos" w:eastAsia="Aptos" w:hAnsi="Aptos" w:cs="Aptos"/>
          <w:i/>
          <w:iCs/>
          <w:lang w:val="fr-FR"/>
        </w:rPr>
        <w:t xml:space="preserve">T. </w:t>
      </w:r>
      <w:proofErr w:type="spellStart"/>
      <w:proofErr w:type="gramStart"/>
      <w:r w:rsidRPr="6EDEF3A1">
        <w:rPr>
          <w:rFonts w:ascii="Aptos" w:eastAsia="Aptos" w:hAnsi="Aptos" w:cs="Aptos"/>
          <w:i/>
          <w:iCs/>
          <w:lang w:val="fr-FR"/>
        </w:rPr>
        <w:t>solium</w:t>
      </w:r>
      <w:proofErr w:type="spellEnd"/>
      <w:r w:rsidRPr="6EDEF3A1">
        <w:rPr>
          <w:rFonts w:ascii="Aptos" w:eastAsia="Aptos" w:hAnsi="Aptos" w:cs="Aptos"/>
          <w:lang w:val="fr-FR"/>
        </w:rPr>
        <w:t xml:space="preserve">  est</w:t>
      </w:r>
      <w:proofErr w:type="gramEnd"/>
      <w:r w:rsidRPr="6EDEF3A1">
        <w:rPr>
          <w:rFonts w:ascii="Aptos" w:eastAsia="Aptos" w:hAnsi="Aptos" w:cs="Aptos"/>
          <w:lang w:val="fr-FR"/>
        </w:rPr>
        <w:t xml:space="preserve"> ≥ 0,5 %  </w:t>
      </w:r>
      <w:hyperlink r:id="rId54">
        <w:r w:rsidRPr="6EDEF3A1">
          <w:rPr>
            <w:rStyle w:val="Hyperlink"/>
            <w:rFonts w:ascii="Aptos" w:eastAsia="Aptos" w:hAnsi="Aptos" w:cs="Aptos"/>
            <w:i/>
            <w:iCs/>
            <w:color w:val="467886"/>
            <w:lang w:val="fr-FR"/>
          </w:rPr>
          <w:t>(</w:t>
        </w:r>
      </w:hyperlink>
      <w:r w:rsidRPr="6EDEF3A1">
        <w:rPr>
          <w:rFonts w:ascii="Aptos" w:eastAsia="Aptos" w:hAnsi="Aptos" w:cs="Aptos"/>
          <w:i/>
          <w:iCs/>
          <w:lang w:val="fr-FR"/>
        </w:rPr>
        <w:t>https://www.who.int/publications/i/item/9789240060722)</w:t>
      </w:r>
      <w:r w:rsidRPr="6EDEF3A1">
        <w:rPr>
          <w:rFonts w:ascii="Aptos" w:eastAsia="Aptos" w:hAnsi="Aptos" w:cs="Aptos"/>
          <w:lang w:val="fr-FR"/>
        </w:rPr>
        <w:t xml:space="preserve">.  Si la zone évaluée a déjà fait l'objet de plusieurs séries de Distribution de Masse de Médicaments (DMM) avec du praziquantel et que la </w:t>
      </w:r>
      <w:proofErr w:type="spellStart"/>
      <w:r w:rsidRPr="6EDEF3A1">
        <w:rPr>
          <w:rFonts w:ascii="Aptos" w:eastAsia="Aptos" w:hAnsi="Aptos" w:cs="Aptos"/>
          <w:i/>
          <w:iCs/>
          <w:lang w:val="fr-FR"/>
        </w:rPr>
        <w:t>tæniase</w:t>
      </w:r>
      <w:proofErr w:type="spellEnd"/>
      <w:r w:rsidRPr="6EDEF3A1">
        <w:rPr>
          <w:rFonts w:ascii="Aptos" w:eastAsia="Aptos" w:hAnsi="Aptos" w:cs="Aptos"/>
          <w:i/>
          <w:iCs/>
          <w:lang w:val="fr-FR"/>
        </w:rPr>
        <w:t xml:space="preserve"> </w:t>
      </w:r>
      <w:r w:rsidRPr="6EDEF3A1">
        <w:rPr>
          <w:rFonts w:ascii="Aptos" w:eastAsia="Aptos" w:hAnsi="Aptos" w:cs="Aptos"/>
          <w:lang w:val="fr-FR"/>
        </w:rPr>
        <w:t>est toujours présente, il convient d'envisager fortement une approche sanitaire unique (en ajoutant la vaccination et le déparasitage des porcs), car elle est plus efficace que la DMM seule.</w:t>
      </w:r>
    </w:p>
    <w:p w14:paraId="26EFA6D7" w14:textId="55831051" w:rsidR="4B5EA7CE" w:rsidRDefault="4B5EA7CE" w:rsidP="6EDEF3A1">
      <w:pPr>
        <w:spacing w:after="160" w:line="276" w:lineRule="auto"/>
      </w:pPr>
      <w:r w:rsidRPr="6EDEF3A1">
        <w:rPr>
          <w:rFonts w:ascii="Aptos" w:eastAsia="Aptos" w:hAnsi="Aptos" w:cs="Aptos"/>
          <w:lang w:val="fr-FR"/>
        </w:rPr>
        <w:t xml:space="preserve">L'absence de </w:t>
      </w:r>
      <w:proofErr w:type="spellStart"/>
      <w:r w:rsidRPr="6EDEF3A1">
        <w:rPr>
          <w:rFonts w:ascii="Aptos" w:eastAsia="Aptos" w:hAnsi="Aptos" w:cs="Aptos"/>
          <w:lang w:val="fr-FR"/>
        </w:rPr>
        <w:t>taeniasis</w:t>
      </w:r>
      <w:proofErr w:type="spellEnd"/>
      <w:r w:rsidRPr="6EDEF3A1">
        <w:rPr>
          <w:rFonts w:ascii="Aptos" w:eastAsia="Aptos" w:hAnsi="Aptos" w:cs="Aptos"/>
          <w:lang w:val="fr-FR"/>
        </w:rPr>
        <w:t xml:space="preserve"> parmi les échantillons de l'enquête </w:t>
      </w:r>
      <w:r w:rsidRPr="6EDEF3A1">
        <w:rPr>
          <w:rFonts w:ascii="Aptos" w:eastAsia="Aptos" w:hAnsi="Aptos" w:cs="Aptos"/>
          <w:b/>
          <w:bCs/>
          <w:lang w:val="fr-FR"/>
        </w:rPr>
        <w:t xml:space="preserve">ne peut être interprétée </w:t>
      </w:r>
      <w:r w:rsidRPr="6EDEF3A1">
        <w:rPr>
          <w:rFonts w:ascii="Aptos" w:eastAsia="Aptos" w:hAnsi="Aptos" w:cs="Aptos"/>
          <w:lang w:val="fr-FR"/>
        </w:rPr>
        <w:t xml:space="preserve">comme une absence de </w:t>
      </w:r>
      <w:proofErr w:type="spellStart"/>
      <w:r w:rsidRPr="6EDEF3A1">
        <w:rPr>
          <w:rFonts w:ascii="Aptos" w:eastAsia="Aptos" w:hAnsi="Aptos" w:cs="Aptos"/>
          <w:lang w:val="fr-FR"/>
        </w:rPr>
        <w:t>taeniasis</w:t>
      </w:r>
      <w:proofErr w:type="spellEnd"/>
      <w:r w:rsidRPr="6EDEF3A1">
        <w:rPr>
          <w:rFonts w:ascii="Aptos" w:eastAsia="Aptos" w:hAnsi="Aptos" w:cs="Aptos"/>
          <w:lang w:val="fr-FR"/>
        </w:rPr>
        <w:t xml:space="preserve"> dans la zone de mise en œuvre en raison de la population limitée de l'enquête (uniquement des enfants en âge scolaire) et du fait que les sites n'ont pas été sélectionnés en fonction de la présence des principaux facteurs de risque de </w:t>
      </w:r>
      <w:r w:rsidRPr="6EDEF3A1">
        <w:rPr>
          <w:rFonts w:ascii="Aptos" w:eastAsia="Aptos" w:hAnsi="Aptos" w:cs="Aptos"/>
          <w:i/>
          <w:iCs/>
          <w:lang w:val="fr-FR"/>
        </w:rPr>
        <w:t xml:space="preserve">T. </w:t>
      </w:r>
      <w:proofErr w:type="spellStart"/>
      <w:r w:rsidRPr="6EDEF3A1">
        <w:rPr>
          <w:rFonts w:ascii="Aptos" w:eastAsia="Aptos" w:hAnsi="Aptos" w:cs="Aptos"/>
          <w:i/>
          <w:iCs/>
          <w:lang w:val="fr-FR"/>
        </w:rPr>
        <w:t>solium</w:t>
      </w:r>
      <w:proofErr w:type="spellEnd"/>
      <w:r w:rsidRPr="6EDEF3A1">
        <w:rPr>
          <w:rFonts w:ascii="Aptos" w:eastAsia="Aptos" w:hAnsi="Aptos" w:cs="Aptos"/>
          <w:i/>
          <w:iCs/>
          <w:lang w:val="fr-FR"/>
        </w:rPr>
        <w:t xml:space="preserve"> </w:t>
      </w:r>
      <w:r w:rsidRPr="6EDEF3A1">
        <w:rPr>
          <w:rFonts w:ascii="Aptos" w:eastAsia="Aptos" w:hAnsi="Aptos" w:cs="Aptos"/>
          <w:lang w:val="fr-FR"/>
        </w:rPr>
        <w:t>(par exemple, il n'y avait peut-être pas de condition préalable que chaque école corresponde à un village avec des porcs en divagation).</w:t>
      </w:r>
    </w:p>
    <w:p w14:paraId="36FADB27" w14:textId="2FBA6D6C" w:rsidR="6EDEF3A1" w:rsidRDefault="6EDEF3A1" w:rsidP="6EDEF3A1">
      <w:pPr>
        <w:spacing w:after="160" w:line="276" w:lineRule="auto"/>
        <w:rPr>
          <w:rFonts w:ascii="Aptos" w:eastAsia="Aptos" w:hAnsi="Aptos" w:cs="Aptos"/>
          <w:sz w:val="24"/>
          <w:szCs w:val="24"/>
          <w:lang w:val="fr"/>
        </w:rPr>
      </w:pPr>
    </w:p>
    <w:p w14:paraId="23DAF860" w14:textId="45EC8E41" w:rsidR="6EDEF3A1" w:rsidRDefault="6EDEF3A1" w:rsidP="6EDEF3A1">
      <w:pPr>
        <w:rPr>
          <w:lang w:val="fr"/>
        </w:rPr>
      </w:pPr>
    </w:p>
    <w:sectPr w:rsidR="6EDEF3A1" w:rsidSect="008622E9">
      <w:pgSz w:w="12240" w:h="15840"/>
      <w:pgMar w:top="1440" w:right="1077" w:bottom="1440"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727E7" w14:textId="77777777" w:rsidR="00DC0E1C" w:rsidRDefault="00DC0E1C">
      <w:r>
        <w:separator/>
      </w:r>
    </w:p>
  </w:endnote>
  <w:endnote w:type="continuationSeparator" w:id="0">
    <w:p w14:paraId="662AAD98" w14:textId="77777777" w:rsidR="00DC0E1C" w:rsidRDefault="00DC0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venir Next LT Pro">
    <w:altName w:val="Arial"/>
    <w:charset w:val="00"/>
    <w:family w:val="swiss"/>
    <w:pitch w:val="variable"/>
    <w:sig w:usb0="800000EF" w:usb1="5000204A"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1192143"/>
      <w:docPartObj>
        <w:docPartGallery w:val="Page Numbers (Bottom of Page)"/>
        <w:docPartUnique/>
      </w:docPartObj>
    </w:sdtPr>
    <w:sdtContent>
      <w:p w14:paraId="2C2CB156" w14:textId="77777777" w:rsidR="00285521" w:rsidRPr="005669CE" w:rsidRDefault="00DB0A1C" w:rsidP="00285521">
        <w:pPr>
          <w:pStyle w:val="Footer"/>
          <w:jc w:val="right"/>
        </w:pPr>
        <w:r w:rsidRPr="005669CE">
          <w:rPr>
            <w:lang w:val="fr-FR"/>
          </w:rPr>
          <w:t xml:space="preserve">Page | </w:t>
        </w:r>
        <w:r w:rsidRPr="005669CE">
          <w:fldChar w:fldCharType="begin"/>
        </w:r>
        <w:r w:rsidRPr="005669CE">
          <w:instrText xml:space="preserve"> PAGE   \* MERGEFORMAT </w:instrText>
        </w:r>
        <w:r w:rsidRPr="005669CE">
          <w:fldChar w:fldCharType="separate"/>
        </w:r>
        <w:r w:rsidRPr="005669CE">
          <w:t>2</w:t>
        </w:r>
        <w:r w:rsidRPr="005669CE">
          <w:fldChar w:fldCharType="end"/>
        </w:r>
      </w:p>
    </w:sdtContent>
  </w:sdt>
  <w:p w14:paraId="499C0BE1" w14:textId="77777777" w:rsidR="00285521" w:rsidRPr="005669CE" w:rsidRDefault="00285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F8E16" w14:textId="77777777" w:rsidR="00DC0E1C" w:rsidRPr="005669CE" w:rsidRDefault="00DC0E1C" w:rsidP="00856C07">
      <w:r w:rsidRPr="005669CE">
        <w:separator/>
      </w:r>
    </w:p>
  </w:footnote>
  <w:footnote w:type="continuationSeparator" w:id="0">
    <w:p w14:paraId="51D91C03" w14:textId="77777777" w:rsidR="00DC0E1C" w:rsidRPr="005669CE" w:rsidRDefault="00DC0E1C" w:rsidP="00856C07">
      <w:r w:rsidRPr="005669CE">
        <w:continuationSeparator/>
      </w:r>
    </w:p>
  </w:footnote>
  <w:footnote w:id="1">
    <w:p w14:paraId="48905AE1" w14:textId="77777777" w:rsidR="00BA2B07" w:rsidRDefault="00DB0A1C" w:rsidP="00BA2B07">
      <w:pPr>
        <w:pStyle w:val="FootnoteText"/>
      </w:pPr>
      <w:r w:rsidRPr="005669CE">
        <w:rPr>
          <w:rStyle w:val="FootnoteReference"/>
        </w:rPr>
        <w:footnoteRef/>
      </w:r>
      <w:r w:rsidRPr="005669CE">
        <w:rPr>
          <w:lang w:val="fr-FR"/>
        </w:rPr>
        <w:t xml:space="preserve"> </w:t>
      </w:r>
      <w:r w:rsidRPr="005669CE">
        <w:rPr>
          <w:sz w:val="24"/>
          <w:lang w:val="fr-FR"/>
        </w:rPr>
        <w:t>https://www.cor-ntd.org/resources/schistosomiasis-oversampling-study-survey-strategy-selection-meeting-report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E4559"/>
    <w:multiLevelType w:val="hybridMultilevel"/>
    <w:tmpl w:val="40AA1122"/>
    <w:lvl w:ilvl="0" w:tplc="79BEDAF8">
      <w:numFmt w:val="bullet"/>
      <w:lvlText w:val=""/>
      <w:lvlJc w:val="left"/>
      <w:pPr>
        <w:ind w:left="455" w:hanging="356"/>
      </w:pPr>
      <w:rPr>
        <w:rFonts w:ascii="Symbol" w:eastAsia="Symbol" w:hAnsi="Symbol" w:cs="Symbol" w:hint="default"/>
        <w:b w:val="0"/>
        <w:bCs w:val="0"/>
        <w:i w:val="0"/>
        <w:iCs w:val="0"/>
        <w:spacing w:val="0"/>
        <w:w w:val="100"/>
        <w:sz w:val="22"/>
        <w:szCs w:val="22"/>
        <w:lang w:val="en-US" w:eastAsia="en-US" w:bidi="ar-SA"/>
      </w:rPr>
    </w:lvl>
    <w:lvl w:ilvl="1" w:tplc="00C03670">
      <w:numFmt w:val="bullet"/>
      <w:lvlText w:val="•"/>
      <w:lvlJc w:val="left"/>
      <w:pPr>
        <w:ind w:left="1450" w:hanging="356"/>
      </w:pPr>
      <w:rPr>
        <w:rFonts w:hint="default"/>
        <w:lang w:val="en-US" w:eastAsia="en-US" w:bidi="ar-SA"/>
      </w:rPr>
    </w:lvl>
    <w:lvl w:ilvl="2" w:tplc="E8629AE6">
      <w:numFmt w:val="bullet"/>
      <w:lvlText w:val="•"/>
      <w:lvlJc w:val="left"/>
      <w:pPr>
        <w:ind w:left="2438" w:hanging="356"/>
      </w:pPr>
      <w:rPr>
        <w:rFonts w:hint="default"/>
        <w:lang w:val="en-US" w:eastAsia="en-US" w:bidi="ar-SA"/>
      </w:rPr>
    </w:lvl>
    <w:lvl w:ilvl="3" w:tplc="E1645AAA">
      <w:numFmt w:val="bullet"/>
      <w:lvlText w:val="•"/>
      <w:lvlJc w:val="left"/>
      <w:pPr>
        <w:ind w:left="3426" w:hanging="356"/>
      </w:pPr>
      <w:rPr>
        <w:rFonts w:hint="default"/>
        <w:lang w:val="en-US" w:eastAsia="en-US" w:bidi="ar-SA"/>
      </w:rPr>
    </w:lvl>
    <w:lvl w:ilvl="4" w:tplc="95B6EE8C">
      <w:numFmt w:val="bullet"/>
      <w:lvlText w:val="•"/>
      <w:lvlJc w:val="left"/>
      <w:pPr>
        <w:ind w:left="4414" w:hanging="356"/>
      </w:pPr>
      <w:rPr>
        <w:rFonts w:hint="default"/>
        <w:lang w:val="en-US" w:eastAsia="en-US" w:bidi="ar-SA"/>
      </w:rPr>
    </w:lvl>
    <w:lvl w:ilvl="5" w:tplc="35102440">
      <w:numFmt w:val="bullet"/>
      <w:lvlText w:val="•"/>
      <w:lvlJc w:val="left"/>
      <w:pPr>
        <w:ind w:left="5402" w:hanging="356"/>
      </w:pPr>
      <w:rPr>
        <w:rFonts w:hint="default"/>
        <w:lang w:val="en-US" w:eastAsia="en-US" w:bidi="ar-SA"/>
      </w:rPr>
    </w:lvl>
    <w:lvl w:ilvl="6" w:tplc="3802F5B0">
      <w:numFmt w:val="bullet"/>
      <w:lvlText w:val="•"/>
      <w:lvlJc w:val="left"/>
      <w:pPr>
        <w:ind w:left="6390" w:hanging="356"/>
      </w:pPr>
      <w:rPr>
        <w:rFonts w:hint="default"/>
        <w:lang w:val="en-US" w:eastAsia="en-US" w:bidi="ar-SA"/>
      </w:rPr>
    </w:lvl>
    <w:lvl w:ilvl="7" w:tplc="1520BA16">
      <w:numFmt w:val="bullet"/>
      <w:lvlText w:val="•"/>
      <w:lvlJc w:val="left"/>
      <w:pPr>
        <w:ind w:left="7378" w:hanging="356"/>
      </w:pPr>
      <w:rPr>
        <w:rFonts w:hint="default"/>
        <w:lang w:val="en-US" w:eastAsia="en-US" w:bidi="ar-SA"/>
      </w:rPr>
    </w:lvl>
    <w:lvl w:ilvl="8" w:tplc="7D8A74BA">
      <w:numFmt w:val="bullet"/>
      <w:lvlText w:val="•"/>
      <w:lvlJc w:val="left"/>
      <w:pPr>
        <w:ind w:left="8366" w:hanging="356"/>
      </w:pPr>
      <w:rPr>
        <w:rFonts w:hint="default"/>
        <w:lang w:val="en-US" w:eastAsia="en-US" w:bidi="ar-SA"/>
      </w:rPr>
    </w:lvl>
  </w:abstractNum>
  <w:abstractNum w:abstractNumId="1" w15:restartNumberingAfterBreak="0">
    <w:nsid w:val="075D34D4"/>
    <w:multiLevelType w:val="hybridMultilevel"/>
    <w:tmpl w:val="B900D206"/>
    <w:lvl w:ilvl="0" w:tplc="EC981E2C">
      <w:numFmt w:val="bullet"/>
      <w:lvlText w:val=""/>
      <w:lvlJc w:val="left"/>
      <w:pPr>
        <w:ind w:left="480" w:hanging="360"/>
      </w:pPr>
      <w:rPr>
        <w:rFonts w:ascii="Symbol" w:eastAsia="Symbol" w:hAnsi="Symbol" w:cs="Symbol" w:hint="default"/>
        <w:b w:val="0"/>
        <w:bCs w:val="0"/>
        <w:i w:val="0"/>
        <w:iCs w:val="0"/>
        <w:spacing w:val="0"/>
        <w:w w:val="100"/>
        <w:sz w:val="22"/>
        <w:szCs w:val="22"/>
        <w:lang w:val="en-US" w:eastAsia="en-US" w:bidi="ar-SA"/>
      </w:rPr>
    </w:lvl>
    <w:lvl w:ilvl="1" w:tplc="D2021EA4">
      <w:numFmt w:val="bullet"/>
      <w:lvlText w:val="•"/>
      <w:lvlJc w:val="left"/>
      <w:pPr>
        <w:ind w:left="1504" w:hanging="360"/>
      </w:pPr>
      <w:rPr>
        <w:rFonts w:hint="default"/>
        <w:lang w:val="en-US" w:eastAsia="en-US" w:bidi="ar-SA"/>
      </w:rPr>
    </w:lvl>
    <w:lvl w:ilvl="2" w:tplc="E62AA048">
      <w:numFmt w:val="bullet"/>
      <w:lvlText w:val="•"/>
      <w:lvlJc w:val="left"/>
      <w:pPr>
        <w:ind w:left="2528" w:hanging="360"/>
      </w:pPr>
      <w:rPr>
        <w:rFonts w:hint="default"/>
        <w:lang w:val="en-US" w:eastAsia="en-US" w:bidi="ar-SA"/>
      </w:rPr>
    </w:lvl>
    <w:lvl w:ilvl="3" w:tplc="9434F81C">
      <w:numFmt w:val="bullet"/>
      <w:lvlText w:val="•"/>
      <w:lvlJc w:val="left"/>
      <w:pPr>
        <w:ind w:left="3552" w:hanging="360"/>
      </w:pPr>
      <w:rPr>
        <w:rFonts w:hint="default"/>
        <w:lang w:val="en-US" w:eastAsia="en-US" w:bidi="ar-SA"/>
      </w:rPr>
    </w:lvl>
    <w:lvl w:ilvl="4" w:tplc="17208F20">
      <w:numFmt w:val="bullet"/>
      <w:lvlText w:val="•"/>
      <w:lvlJc w:val="left"/>
      <w:pPr>
        <w:ind w:left="4576" w:hanging="360"/>
      </w:pPr>
      <w:rPr>
        <w:rFonts w:hint="default"/>
        <w:lang w:val="en-US" w:eastAsia="en-US" w:bidi="ar-SA"/>
      </w:rPr>
    </w:lvl>
    <w:lvl w:ilvl="5" w:tplc="405A2D8C">
      <w:numFmt w:val="bullet"/>
      <w:lvlText w:val="•"/>
      <w:lvlJc w:val="left"/>
      <w:pPr>
        <w:ind w:left="5600" w:hanging="360"/>
      </w:pPr>
      <w:rPr>
        <w:rFonts w:hint="default"/>
        <w:lang w:val="en-US" w:eastAsia="en-US" w:bidi="ar-SA"/>
      </w:rPr>
    </w:lvl>
    <w:lvl w:ilvl="6" w:tplc="B2BC6948">
      <w:numFmt w:val="bullet"/>
      <w:lvlText w:val="•"/>
      <w:lvlJc w:val="left"/>
      <w:pPr>
        <w:ind w:left="6624" w:hanging="360"/>
      </w:pPr>
      <w:rPr>
        <w:rFonts w:hint="default"/>
        <w:lang w:val="en-US" w:eastAsia="en-US" w:bidi="ar-SA"/>
      </w:rPr>
    </w:lvl>
    <w:lvl w:ilvl="7" w:tplc="7FB00378">
      <w:numFmt w:val="bullet"/>
      <w:lvlText w:val="•"/>
      <w:lvlJc w:val="left"/>
      <w:pPr>
        <w:ind w:left="7648" w:hanging="360"/>
      </w:pPr>
      <w:rPr>
        <w:rFonts w:hint="default"/>
        <w:lang w:val="en-US" w:eastAsia="en-US" w:bidi="ar-SA"/>
      </w:rPr>
    </w:lvl>
    <w:lvl w:ilvl="8" w:tplc="8F180C60">
      <w:numFmt w:val="bullet"/>
      <w:lvlText w:val="•"/>
      <w:lvlJc w:val="left"/>
      <w:pPr>
        <w:ind w:left="8672" w:hanging="360"/>
      </w:pPr>
      <w:rPr>
        <w:rFonts w:hint="default"/>
        <w:lang w:val="en-US" w:eastAsia="en-US" w:bidi="ar-SA"/>
      </w:rPr>
    </w:lvl>
  </w:abstractNum>
  <w:abstractNum w:abstractNumId="2" w15:restartNumberingAfterBreak="0">
    <w:nsid w:val="082B1BBB"/>
    <w:multiLevelType w:val="hybridMultilevel"/>
    <w:tmpl w:val="09486842"/>
    <w:lvl w:ilvl="0" w:tplc="C62AB624">
      <w:start w:val="1"/>
      <w:numFmt w:val="decimal"/>
      <w:lvlText w:val="%1."/>
      <w:lvlJc w:val="left"/>
      <w:pPr>
        <w:ind w:left="840" w:hanging="360"/>
      </w:pPr>
      <w:rPr>
        <w:rFonts w:ascii="Calibri" w:eastAsia="Calibri" w:hAnsi="Calibri" w:cs="Calibri" w:hint="default"/>
        <w:b w:val="0"/>
        <w:bCs w:val="0"/>
        <w:i w:val="0"/>
        <w:iCs w:val="0"/>
        <w:spacing w:val="0"/>
        <w:w w:val="100"/>
        <w:sz w:val="22"/>
        <w:szCs w:val="22"/>
        <w:lang w:val="en-US" w:eastAsia="en-US" w:bidi="ar-SA"/>
      </w:rPr>
    </w:lvl>
    <w:lvl w:ilvl="1" w:tplc="32AE98AC">
      <w:start w:val="1"/>
      <w:numFmt w:val="lowerLetter"/>
      <w:lvlText w:val="%2."/>
      <w:lvlJc w:val="left"/>
      <w:pPr>
        <w:ind w:left="1200" w:hanging="360"/>
      </w:pPr>
      <w:rPr>
        <w:rFonts w:ascii="Calibri" w:eastAsia="Calibri" w:hAnsi="Calibri" w:cs="Calibri" w:hint="default"/>
        <w:b w:val="0"/>
        <w:bCs w:val="0"/>
        <w:i w:val="0"/>
        <w:iCs w:val="0"/>
        <w:spacing w:val="-1"/>
        <w:w w:val="100"/>
        <w:sz w:val="22"/>
        <w:szCs w:val="22"/>
        <w:lang w:val="en-US" w:eastAsia="en-US" w:bidi="ar-SA"/>
      </w:rPr>
    </w:lvl>
    <w:lvl w:ilvl="2" w:tplc="9BA0EF40">
      <w:numFmt w:val="bullet"/>
      <w:lvlText w:val="•"/>
      <w:lvlJc w:val="left"/>
      <w:pPr>
        <w:ind w:left="2257" w:hanging="360"/>
      </w:pPr>
      <w:rPr>
        <w:rFonts w:hint="default"/>
        <w:lang w:val="en-US" w:eastAsia="en-US" w:bidi="ar-SA"/>
      </w:rPr>
    </w:lvl>
    <w:lvl w:ilvl="3" w:tplc="E88024E2">
      <w:numFmt w:val="bullet"/>
      <w:lvlText w:val="•"/>
      <w:lvlJc w:val="left"/>
      <w:pPr>
        <w:ind w:left="3315" w:hanging="360"/>
      </w:pPr>
      <w:rPr>
        <w:rFonts w:hint="default"/>
        <w:lang w:val="en-US" w:eastAsia="en-US" w:bidi="ar-SA"/>
      </w:rPr>
    </w:lvl>
    <w:lvl w:ilvl="4" w:tplc="7BDE547E">
      <w:numFmt w:val="bullet"/>
      <w:lvlText w:val="•"/>
      <w:lvlJc w:val="left"/>
      <w:pPr>
        <w:ind w:left="4373" w:hanging="360"/>
      </w:pPr>
      <w:rPr>
        <w:rFonts w:hint="default"/>
        <w:lang w:val="en-US" w:eastAsia="en-US" w:bidi="ar-SA"/>
      </w:rPr>
    </w:lvl>
    <w:lvl w:ilvl="5" w:tplc="D2EAD0BA">
      <w:numFmt w:val="bullet"/>
      <w:lvlText w:val="•"/>
      <w:lvlJc w:val="left"/>
      <w:pPr>
        <w:ind w:left="5431" w:hanging="360"/>
      </w:pPr>
      <w:rPr>
        <w:rFonts w:hint="default"/>
        <w:lang w:val="en-US" w:eastAsia="en-US" w:bidi="ar-SA"/>
      </w:rPr>
    </w:lvl>
    <w:lvl w:ilvl="6" w:tplc="F5D0BB46">
      <w:numFmt w:val="bullet"/>
      <w:lvlText w:val="•"/>
      <w:lvlJc w:val="left"/>
      <w:pPr>
        <w:ind w:left="6488" w:hanging="360"/>
      </w:pPr>
      <w:rPr>
        <w:rFonts w:hint="default"/>
        <w:lang w:val="en-US" w:eastAsia="en-US" w:bidi="ar-SA"/>
      </w:rPr>
    </w:lvl>
    <w:lvl w:ilvl="7" w:tplc="1E028CFA">
      <w:numFmt w:val="bullet"/>
      <w:lvlText w:val="•"/>
      <w:lvlJc w:val="left"/>
      <w:pPr>
        <w:ind w:left="7546" w:hanging="360"/>
      </w:pPr>
      <w:rPr>
        <w:rFonts w:hint="default"/>
        <w:lang w:val="en-US" w:eastAsia="en-US" w:bidi="ar-SA"/>
      </w:rPr>
    </w:lvl>
    <w:lvl w:ilvl="8" w:tplc="F7AAE302">
      <w:numFmt w:val="bullet"/>
      <w:lvlText w:val="•"/>
      <w:lvlJc w:val="left"/>
      <w:pPr>
        <w:ind w:left="8604" w:hanging="360"/>
      </w:pPr>
      <w:rPr>
        <w:rFonts w:hint="default"/>
        <w:lang w:val="en-US" w:eastAsia="en-US" w:bidi="ar-SA"/>
      </w:rPr>
    </w:lvl>
  </w:abstractNum>
  <w:abstractNum w:abstractNumId="3" w15:restartNumberingAfterBreak="0">
    <w:nsid w:val="09595B1B"/>
    <w:multiLevelType w:val="hybridMultilevel"/>
    <w:tmpl w:val="36D26C4C"/>
    <w:lvl w:ilvl="0" w:tplc="1164A6CE">
      <w:start w:val="1"/>
      <w:numFmt w:val="bullet"/>
      <w:lvlText w:val="·"/>
      <w:lvlJc w:val="left"/>
      <w:pPr>
        <w:ind w:left="720" w:hanging="360"/>
      </w:pPr>
      <w:rPr>
        <w:rFonts w:ascii="Symbol" w:hAnsi="Symbol" w:hint="default"/>
      </w:rPr>
    </w:lvl>
    <w:lvl w:ilvl="1" w:tplc="A65ED5E8">
      <w:start w:val="1"/>
      <w:numFmt w:val="bullet"/>
      <w:lvlText w:val="o"/>
      <w:lvlJc w:val="left"/>
      <w:pPr>
        <w:ind w:left="1440" w:hanging="360"/>
      </w:pPr>
      <w:rPr>
        <w:rFonts w:ascii="Courier New" w:hAnsi="Courier New" w:hint="default"/>
      </w:rPr>
    </w:lvl>
    <w:lvl w:ilvl="2" w:tplc="DE32AE42">
      <w:start w:val="1"/>
      <w:numFmt w:val="bullet"/>
      <w:lvlText w:val=""/>
      <w:lvlJc w:val="left"/>
      <w:pPr>
        <w:ind w:left="2160" w:hanging="360"/>
      </w:pPr>
      <w:rPr>
        <w:rFonts w:ascii="Wingdings" w:hAnsi="Wingdings" w:hint="default"/>
      </w:rPr>
    </w:lvl>
    <w:lvl w:ilvl="3" w:tplc="95BEFFB6">
      <w:start w:val="1"/>
      <w:numFmt w:val="bullet"/>
      <w:lvlText w:val=""/>
      <w:lvlJc w:val="left"/>
      <w:pPr>
        <w:ind w:left="2880" w:hanging="360"/>
      </w:pPr>
      <w:rPr>
        <w:rFonts w:ascii="Symbol" w:hAnsi="Symbol" w:hint="default"/>
      </w:rPr>
    </w:lvl>
    <w:lvl w:ilvl="4" w:tplc="7300287E">
      <w:start w:val="1"/>
      <w:numFmt w:val="bullet"/>
      <w:lvlText w:val="o"/>
      <w:lvlJc w:val="left"/>
      <w:pPr>
        <w:ind w:left="3600" w:hanging="360"/>
      </w:pPr>
      <w:rPr>
        <w:rFonts w:ascii="Courier New" w:hAnsi="Courier New" w:hint="default"/>
      </w:rPr>
    </w:lvl>
    <w:lvl w:ilvl="5" w:tplc="F170E02C">
      <w:start w:val="1"/>
      <w:numFmt w:val="bullet"/>
      <w:lvlText w:val=""/>
      <w:lvlJc w:val="left"/>
      <w:pPr>
        <w:ind w:left="4320" w:hanging="360"/>
      </w:pPr>
      <w:rPr>
        <w:rFonts w:ascii="Wingdings" w:hAnsi="Wingdings" w:hint="default"/>
      </w:rPr>
    </w:lvl>
    <w:lvl w:ilvl="6" w:tplc="9D344E1E">
      <w:start w:val="1"/>
      <w:numFmt w:val="bullet"/>
      <w:lvlText w:val=""/>
      <w:lvlJc w:val="left"/>
      <w:pPr>
        <w:ind w:left="5040" w:hanging="360"/>
      </w:pPr>
      <w:rPr>
        <w:rFonts w:ascii="Symbol" w:hAnsi="Symbol" w:hint="default"/>
      </w:rPr>
    </w:lvl>
    <w:lvl w:ilvl="7" w:tplc="57A8215E">
      <w:start w:val="1"/>
      <w:numFmt w:val="bullet"/>
      <w:lvlText w:val="o"/>
      <w:lvlJc w:val="left"/>
      <w:pPr>
        <w:ind w:left="5760" w:hanging="360"/>
      </w:pPr>
      <w:rPr>
        <w:rFonts w:ascii="Courier New" w:hAnsi="Courier New" w:hint="default"/>
      </w:rPr>
    </w:lvl>
    <w:lvl w:ilvl="8" w:tplc="5AD4F82E">
      <w:start w:val="1"/>
      <w:numFmt w:val="bullet"/>
      <w:lvlText w:val=""/>
      <w:lvlJc w:val="left"/>
      <w:pPr>
        <w:ind w:left="6480" w:hanging="360"/>
      </w:pPr>
      <w:rPr>
        <w:rFonts w:ascii="Wingdings" w:hAnsi="Wingdings" w:hint="default"/>
      </w:rPr>
    </w:lvl>
  </w:abstractNum>
  <w:abstractNum w:abstractNumId="4" w15:restartNumberingAfterBreak="0">
    <w:nsid w:val="0FF027AC"/>
    <w:multiLevelType w:val="hybridMultilevel"/>
    <w:tmpl w:val="4D3419EE"/>
    <w:lvl w:ilvl="0" w:tplc="F63292AA">
      <w:start w:val="1"/>
      <w:numFmt w:val="lowerRoman"/>
      <w:lvlText w:val="(%1)"/>
      <w:lvlJc w:val="left"/>
      <w:pPr>
        <w:ind w:left="108" w:hanging="236"/>
      </w:pPr>
      <w:rPr>
        <w:rFonts w:ascii="Calibri" w:eastAsia="Calibri" w:hAnsi="Calibri" w:cs="Calibri" w:hint="default"/>
        <w:b w:val="0"/>
        <w:bCs w:val="0"/>
        <w:i w:val="0"/>
        <w:iCs w:val="0"/>
        <w:spacing w:val="-1"/>
        <w:w w:val="100"/>
        <w:sz w:val="22"/>
        <w:szCs w:val="22"/>
        <w:lang w:val="en-US" w:eastAsia="en-US" w:bidi="ar-SA"/>
      </w:rPr>
    </w:lvl>
    <w:lvl w:ilvl="1" w:tplc="E81C170C">
      <w:numFmt w:val="bullet"/>
      <w:lvlText w:val="•"/>
      <w:lvlJc w:val="left"/>
      <w:pPr>
        <w:ind w:left="741" w:hanging="236"/>
      </w:pPr>
      <w:rPr>
        <w:rFonts w:hint="default"/>
        <w:lang w:val="en-US" w:eastAsia="en-US" w:bidi="ar-SA"/>
      </w:rPr>
    </w:lvl>
    <w:lvl w:ilvl="2" w:tplc="7CCE72A2">
      <w:numFmt w:val="bullet"/>
      <w:lvlText w:val="•"/>
      <w:lvlJc w:val="left"/>
      <w:pPr>
        <w:ind w:left="1382" w:hanging="236"/>
      </w:pPr>
      <w:rPr>
        <w:rFonts w:hint="default"/>
        <w:lang w:val="en-US" w:eastAsia="en-US" w:bidi="ar-SA"/>
      </w:rPr>
    </w:lvl>
    <w:lvl w:ilvl="3" w:tplc="1396E45C">
      <w:numFmt w:val="bullet"/>
      <w:lvlText w:val="•"/>
      <w:lvlJc w:val="left"/>
      <w:pPr>
        <w:ind w:left="2023" w:hanging="236"/>
      </w:pPr>
      <w:rPr>
        <w:rFonts w:hint="default"/>
        <w:lang w:val="en-US" w:eastAsia="en-US" w:bidi="ar-SA"/>
      </w:rPr>
    </w:lvl>
    <w:lvl w:ilvl="4" w:tplc="487C5142">
      <w:numFmt w:val="bullet"/>
      <w:lvlText w:val="•"/>
      <w:lvlJc w:val="left"/>
      <w:pPr>
        <w:ind w:left="2664" w:hanging="236"/>
      </w:pPr>
      <w:rPr>
        <w:rFonts w:hint="default"/>
        <w:lang w:val="en-US" w:eastAsia="en-US" w:bidi="ar-SA"/>
      </w:rPr>
    </w:lvl>
    <w:lvl w:ilvl="5" w:tplc="B6A6B70E">
      <w:numFmt w:val="bullet"/>
      <w:lvlText w:val="•"/>
      <w:lvlJc w:val="left"/>
      <w:pPr>
        <w:ind w:left="3305" w:hanging="236"/>
      </w:pPr>
      <w:rPr>
        <w:rFonts w:hint="default"/>
        <w:lang w:val="en-US" w:eastAsia="en-US" w:bidi="ar-SA"/>
      </w:rPr>
    </w:lvl>
    <w:lvl w:ilvl="6" w:tplc="2744DAA0">
      <w:numFmt w:val="bullet"/>
      <w:lvlText w:val="•"/>
      <w:lvlJc w:val="left"/>
      <w:pPr>
        <w:ind w:left="3946" w:hanging="236"/>
      </w:pPr>
      <w:rPr>
        <w:rFonts w:hint="default"/>
        <w:lang w:val="en-US" w:eastAsia="en-US" w:bidi="ar-SA"/>
      </w:rPr>
    </w:lvl>
    <w:lvl w:ilvl="7" w:tplc="C922B6D6">
      <w:numFmt w:val="bullet"/>
      <w:lvlText w:val="•"/>
      <w:lvlJc w:val="left"/>
      <w:pPr>
        <w:ind w:left="4587" w:hanging="236"/>
      </w:pPr>
      <w:rPr>
        <w:rFonts w:hint="default"/>
        <w:lang w:val="en-US" w:eastAsia="en-US" w:bidi="ar-SA"/>
      </w:rPr>
    </w:lvl>
    <w:lvl w:ilvl="8" w:tplc="C150D02E">
      <w:numFmt w:val="bullet"/>
      <w:lvlText w:val="•"/>
      <w:lvlJc w:val="left"/>
      <w:pPr>
        <w:ind w:left="5228" w:hanging="236"/>
      </w:pPr>
      <w:rPr>
        <w:rFonts w:hint="default"/>
        <w:lang w:val="en-US" w:eastAsia="en-US" w:bidi="ar-SA"/>
      </w:rPr>
    </w:lvl>
  </w:abstractNum>
  <w:abstractNum w:abstractNumId="5" w15:restartNumberingAfterBreak="0">
    <w:nsid w:val="1B467AA6"/>
    <w:multiLevelType w:val="hybridMultilevel"/>
    <w:tmpl w:val="F0AEFD3E"/>
    <w:lvl w:ilvl="0" w:tplc="42562790">
      <w:start w:val="1"/>
      <w:numFmt w:val="decimal"/>
      <w:lvlText w:val="%1."/>
      <w:lvlJc w:val="left"/>
      <w:pPr>
        <w:ind w:left="840" w:hanging="360"/>
      </w:pPr>
      <w:rPr>
        <w:rFonts w:ascii="Calibri" w:eastAsia="Calibri" w:hAnsi="Calibri" w:cs="Calibri" w:hint="default"/>
        <w:b w:val="0"/>
        <w:bCs w:val="0"/>
        <w:i w:val="0"/>
        <w:iCs w:val="0"/>
        <w:spacing w:val="0"/>
        <w:w w:val="100"/>
        <w:sz w:val="22"/>
        <w:szCs w:val="22"/>
        <w:lang w:val="en-US" w:eastAsia="en-US" w:bidi="ar-SA"/>
      </w:rPr>
    </w:lvl>
    <w:lvl w:ilvl="1" w:tplc="4704D61A">
      <w:start w:val="1"/>
      <w:numFmt w:val="lowerLetter"/>
      <w:lvlText w:val="%2."/>
      <w:lvlJc w:val="left"/>
      <w:pPr>
        <w:ind w:left="1200" w:hanging="360"/>
      </w:pPr>
      <w:rPr>
        <w:rFonts w:ascii="Calibri" w:eastAsia="Calibri" w:hAnsi="Calibri" w:cs="Calibri" w:hint="default"/>
        <w:b w:val="0"/>
        <w:bCs w:val="0"/>
        <w:i w:val="0"/>
        <w:iCs w:val="0"/>
        <w:spacing w:val="-1"/>
        <w:w w:val="100"/>
        <w:sz w:val="22"/>
        <w:szCs w:val="22"/>
        <w:lang w:val="en-US" w:eastAsia="en-US" w:bidi="ar-SA"/>
      </w:rPr>
    </w:lvl>
    <w:lvl w:ilvl="2" w:tplc="399C753E">
      <w:numFmt w:val="bullet"/>
      <w:lvlText w:val="•"/>
      <w:lvlJc w:val="left"/>
      <w:pPr>
        <w:ind w:left="2257" w:hanging="360"/>
      </w:pPr>
      <w:rPr>
        <w:rFonts w:hint="default"/>
        <w:lang w:val="en-US" w:eastAsia="en-US" w:bidi="ar-SA"/>
      </w:rPr>
    </w:lvl>
    <w:lvl w:ilvl="3" w:tplc="2F088FD0">
      <w:numFmt w:val="bullet"/>
      <w:lvlText w:val="•"/>
      <w:lvlJc w:val="left"/>
      <w:pPr>
        <w:ind w:left="3315" w:hanging="360"/>
      </w:pPr>
      <w:rPr>
        <w:rFonts w:hint="default"/>
        <w:lang w:val="en-US" w:eastAsia="en-US" w:bidi="ar-SA"/>
      </w:rPr>
    </w:lvl>
    <w:lvl w:ilvl="4" w:tplc="CC242C52">
      <w:numFmt w:val="bullet"/>
      <w:lvlText w:val="•"/>
      <w:lvlJc w:val="left"/>
      <w:pPr>
        <w:ind w:left="4373" w:hanging="360"/>
      </w:pPr>
      <w:rPr>
        <w:rFonts w:hint="default"/>
        <w:lang w:val="en-US" w:eastAsia="en-US" w:bidi="ar-SA"/>
      </w:rPr>
    </w:lvl>
    <w:lvl w:ilvl="5" w:tplc="C540B5B6">
      <w:numFmt w:val="bullet"/>
      <w:lvlText w:val="•"/>
      <w:lvlJc w:val="left"/>
      <w:pPr>
        <w:ind w:left="5431" w:hanging="360"/>
      </w:pPr>
      <w:rPr>
        <w:rFonts w:hint="default"/>
        <w:lang w:val="en-US" w:eastAsia="en-US" w:bidi="ar-SA"/>
      </w:rPr>
    </w:lvl>
    <w:lvl w:ilvl="6" w:tplc="844CFBBC">
      <w:numFmt w:val="bullet"/>
      <w:lvlText w:val="•"/>
      <w:lvlJc w:val="left"/>
      <w:pPr>
        <w:ind w:left="6488" w:hanging="360"/>
      </w:pPr>
      <w:rPr>
        <w:rFonts w:hint="default"/>
        <w:lang w:val="en-US" w:eastAsia="en-US" w:bidi="ar-SA"/>
      </w:rPr>
    </w:lvl>
    <w:lvl w:ilvl="7" w:tplc="EA2E9D32">
      <w:numFmt w:val="bullet"/>
      <w:lvlText w:val="•"/>
      <w:lvlJc w:val="left"/>
      <w:pPr>
        <w:ind w:left="7546" w:hanging="360"/>
      </w:pPr>
      <w:rPr>
        <w:rFonts w:hint="default"/>
        <w:lang w:val="en-US" w:eastAsia="en-US" w:bidi="ar-SA"/>
      </w:rPr>
    </w:lvl>
    <w:lvl w:ilvl="8" w:tplc="27D22120">
      <w:numFmt w:val="bullet"/>
      <w:lvlText w:val="•"/>
      <w:lvlJc w:val="left"/>
      <w:pPr>
        <w:ind w:left="8604" w:hanging="360"/>
      </w:pPr>
      <w:rPr>
        <w:rFonts w:hint="default"/>
        <w:lang w:val="en-US" w:eastAsia="en-US" w:bidi="ar-SA"/>
      </w:rPr>
    </w:lvl>
  </w:abstractNum>
  <w:abstractNum w:abstractNumId="6" w15:restartNumberingAfterBreak="0">
    <w:nsid w:val="20983192"/>
    <w:multiLevelType w:val="hybridMultilevel"/>
    <w:tmpl w:val="B3F8C908"/>
    <w:lvl w:ilvl="0" w:tplc="CB786F3E">
      <w:start w:val="1"/>
      <w:numFmt w:val="lowerLetter"/>
      <w:lvlText w:val="%1)"/>
      <w:lvlJc w:val="left"/>
      <w:pPr>
        <w:ind w:left="840" w:hanging="360"/>
      </w:pPr>
      <w:rPr>
        <w:rFonts w:ascii="Calibri" w:eastAsia="Calibri" w:hAnsi="Calibri" w:cs="Calibri" w:hint="default"/>
        <w:b w:val="0"/>
        <w:bCs w:val="0"/>
        <w:i w:val="0"/>
        <w:iCs w:val="0"/>
        <w:spacing w:val="-1"/>
        <w:w w:val="100"/>
        <w:sz w:val="22"/>
        <w:szCs w:val="22"/>
        <w:lang w:val="en-US" w:eastAsia="en-US" w:bidi="ar-SA"/>
      </w:rPr>
    </w:lvl>
    <w:lvl w:ilvl="1" w:tplc="05D29498">
      <w:numFmt w:val="bullet"/>
      <w:lvlText w:val="•"/>
      <w:lvlJc w:val="left"/>
      <w:pPr>
        <w:ind w:left="1828" w:hanging="360"/>
      </w:pPr>
      <w:rPr>
        <w:rFonts w:hint="default"/>
        <w:lang w:val="en-US" w:eastAsia="en-US" w:bidi="ar-SA"/>
      </w:rPr>
    </w:lvl>
    <w:lvl w:ilvl="2" w:tplc="FA286538">
      <w:numFmt w:val="bullet"/>
      <w:lvlText w:val="•"/>
      <w:lvlJc w:val="left"/>
      <w:pPr>
        <w:ind w:left="2816" w:hanging="360"/>
      </w:pPr>
      <w:rPr>
        <w:rFonts w:hint="default"/>
        <w:lang w:val="en-US" w:eastAsia="en-US" w:bidi="ar-SA"/>
      </w:rPr>
    </w:lvl>
    <w:lvl w:ilvl="3" w:tplc="8B6C3E64">
      <w:numFmt w:val="bullet"/>
      <w:lvlText w:val="•"/>
      <w:lvlJc w:val="left"/>
      <w:pPr>
        <w:ind w:left="3804" w:hanging="360"/>
      </w:pPr>
      <w:rPr>
        <w:rFonts w:hint="default"/>
        <w:lang w:val="en-US" w:eastAsia="en-US" w:bidi="ar-SA"/>
      </w:rPr>
    </w:lvl>
    <w:lvl w:ilvl="4" w:tplc="FE56DB68">
      <w:numFmt w:val="bullet"/>
      <w:lvlText w:val="•"/>
      <w:lvlJc w:val="left"/>
      <w:pPr>
        <w:ind w:left="4792" w:hanging="360"/>
      </w:pPr>
      <w:rPr>
        <w:rFonts w:hint="default"/>
        <w:lang w:val="en-US" w:eastAsia="en-US" w:bidi="ar-SA"/>
      </w:rPr>
    </w:lvl>
    <w:lvl w:ilvl="5" w:tplc="9D4E4A92">
      <w:numFmt w:val="bullet"/>
      <w:lvlText w:val="•"/>
      <w:lvlJc w:val="left"/>
      <w:pPr>
        <w:ind w:left="5780" w:hanging="360"/>
      </w:pPr>
      <w:rPr>
        <w:rFonts w:hint="default"/>
        <w:lang w:val="en-US" w:eastAsia="en-US" w:bidi="ar-SA"/>
      </w:rPr>
    </w:lvl>
    <w:lvl w:ilvl="6" w:tplc="516E3D16">
      <w:numFmt w:val="bullet"/>
      <w:lvlText w:val="•"/>
      <w:lvlJc w:val="left"/>
      <w:pPr>
        <w:ind w:left="6768" w:hanging="360"/>
      </w:pPr>
      <w:rPr>
        <w:rFonts w:hint="default"/>
        <w:lang w:val="en-US" w:eastAsia="en-US" w:bidi="ar-SA"/>
      </w:rPr>
    </w:lvl>
    <w:lvl w:ilvl="7" w:tplc="D84E9F52">
      <w:numFmt w:val="bullet"/>
      <w:lvlText w:val="•"/>
      <w:lvlJc w:val="left"/>
      <w:pPr>
        <w:ind w:left="7756" w:hanging="360"/>
      </w:pPr>
      <w:rPr>
        <w:rFonts w:hint="default"/>
        <w:lang w:val="en-US" w:eastAsia="en-US" w:bidi="ar-SA"/>
      </w:rPr>
    </w:lvl>
    <w:lvl w:ilvl="8" w:tplc="78141C0A">
      <w:numFmt w:val="bullet"/>
      <w:lvlText w:val="•"/>
      <w:lvlJc w:val="left"/>
      <w:pPr>
        <w:ind w:left="8744" w:hanging="360"/>
      </w:pPr>
      <w:rPr>
        <w:rFonts w:hint="default"/>
        <w:lang w:val="en-US" w:eastAsia="en-US" w:bidi="ar-SA"/>
      </w:rPr>
    </w:lvl>
  </w:abstractNum>
  <w:abstractNum w:abstractNumId="7" w15:restartNumberingAfterBreak="0">
    <w:nsid w:val="31052A73"/>
    <w:multiLevelType w:val="hybridMultilevel"/>
    <w:tmpl w:val="9A30C85C"/>
    <w:lvl w:ilvl="0" w:tplc="289EA25E">
      <w:start w:val="1"/>
      <w:numFmt w:val="bullet"/>
      <w:lvlText w:val="·"/>
      <w:lvlJc w:val="left"/>
      <w:pPr>
        <w:ind w:left="720" w:hanging="360"/>
      </w:pPr>
      <w:rPr>
        <w:rFonts w:ascii="Symbol" w:hAnsi="Symbol" w:hint="default"/>
      </w:rPr>
    </w:lvl>
    <w:lvl w:ilvl="1" w:tplc="6BD2F774">
      <w:start w:val="1"/>
      <w:numFmt w:val="bullet"/>
      <w:lvlText w:val="o"/>
      <w:lvlJc w:val="left"/>
      <w:pPr>
        <w:ind w:left="1440" w:hanging="360"/>
      </w:pPr>
      <w:rPr>
        <w:rFonts w:ascii="Courier New" w:hAnsi="Courier New" w:hint="default"/>
      </w:rPr>
    </w:lvl>
    <w:lvl w:ilvl="2" w:tplc="E2346A58">
      <w:start w:val="1"/>
      <w:numFmt w:val="bullet"/>
      <w:lvlText w:val=""/>
      <w:lvlJc w:val="left"/>
      <w:pPr>
        <w:ind w:left="2160" w:hanging="360"/>
      </w:pPr>
      <w:rPr>
        <w:rFonts w:ascii="Wingdings" w:hAnsi="Wingdings" w:hint="default"/>
      </w:rPr>
    </w:lvl>
    <w:lvl w:ilvl="3" w:tplc="453C97F8">
      <w:start w:val="1"/>
      <w:numFmt w:val="bullet"/>
      <w:lvlText w:val=""/>
      <w:lvlJc w:val="left"/>
      <w:pPr>
        <w:ind w:left="2880" w:hanging="360"/>
      </w:pPr>
      <w:rPr>
        <w:rFonts w:ascii="Symbol" w:hAnsi="Symbol" w:hint="default"/>
      </w:rPr>
    </w:lvl>
    <w:lvl w:ilvl="4" w:tplc="9B14FD02">
      <w:start w:val="1"/>
      <w:numFmt w:val="bullet"/>
      <w:lvlText w:val="o"/>
      <w:lvlJc w:val="left"/>
      <w:pPr>
        <w:ind w:left="3600" w:hanging="360"/>
      </w:pPr>
      <w:rPr>
        <w:rFonts w:ascii="Courier New" w:hAnsi="Courier New" w:hint="default"/>
      </w:rPr>
    </w:lvl>
    <w:lvl w:ilvl="5" w:tplc="DF8A5F4E">
      <w:start w:val="1"/>
      <w:numFmt w:val="bullet"/>
      <w:lvlText w:val=""/>
      <w:lvlJc w:val="left"/>
      <w:pPr>
        <w:ind w:left="4320" w:hanging="360"/>
      </w:pPr>
      <w:rPr>
        <w:rFonts w:ascii="Wingdings" w:hAnsi="Wingdings" w:hint="default"/>
      </w:rPr>
    </w:lvl>
    <w:lvl w:ilvl="6" w:tplc="9EC80ED2">
      <w:start w:val="1"/>
      <w:numFmt w:val="bullet"/>
      <w:lvlText w:val=""/>
      <w:lvlJc w:val="left"/>
      <w:pPr>
        <w:ind w:left="5040" w:hanging="360"/>
      </w:pPr>
      <w:rPr>
        <w:rFonts w:ascii="Symbol" w:hAnsi="Symbol" w:hint="default"/>
      </w:rPr>
    </w:lvl>
    <w:lvl w:ilvl="7" w:tplc="D92C0850">
      <w:start w:val="1"/>
      <w:numFmt w:val="bullet"/>
      <w:lvlText w:val="o"/>
      <w:lvlJc w:val="left"/>
      <w:pPr>
        <w:ind w:left="5760" w:hanging="360"/>
      </w:pPr>
      <w:rPr>
        <w:rFonts w:ascii="Courier New" w:hAnsi="Courier New" w:hint="default"/>
      </w:rPr>
    </w:lvl>
    <w:lvl w:ilvl="8" w:tplc="3CC6FB8A">
      <w:start w:val="1"/>
      <w:numFmt w:val="bullet"/>
      <w:lvlText w:val=""/>
      <w:lvlJc w:val="left"/>
      <w:pPr>
        <w:ind w:left="6480" w:hanging="360"/>
      </w:pPr>
      <w:rPr>
        <w:rFonts w:ascii="Wingdings" w:hAnsi="Wingdings" w:hint="default"/>
      </w:rPr>
    </w:lvl>
  </w:abstractNum>
  <w:abstractNum w:abstractNumId="8" w15:restartNumberingAfterBreak="0">
    <w:nsid w:val="3B1B3EBF"/>
    <w:multiLevelType w:val="hybridMultilevel"/>
    <w:tmpl w:val="69F414F4"/>
    <w:lvl w:ilvl="0" w:tplc="3E64D89C">
      <w:numFmt w:val="bullet"/>
      <w:lvlText w:val="•"/>
      <w:lvlJc w:val="left"/>
      <w:pPr>
        <w:ind w:left="567" w:hanging="90"/>
      </w:pPr>
      <w:rPr>
        <w:rFonts w:ascii="Calibri" w:eastAsia="Calibri" w:hAnsi="Calibri" w:hint="default"/>
        <w:b w:val="0"/>
        <w:bCs w:val="0"/>
        <w:i w:val="0"/>
        <w:iCs w:val="0"/>
        <w:spacing w:val="0"/>
        <w:w w:val="100"/>
        <w:sz w:val="22"/>
        <w:szCs w:val="22"/>
        <w:lang w:val="en-US" w:eastAsia="en-US" w:bidi="ar-SA"/>
      </w:rPr>
    </w:lvl>
    <w:lvl w:ilvl="1" w:tplc="686EE156">
      <w:numFmt w:val="bullet"/>
      <w:lvlText w:val="•"/>
      <w:lvlJc w:val="left"/>
      <w:pPr>
        <w:ind w:left="1349" w:hanging="171"/>
      </w:pPr>
      <w:rPr>
        <w:rFonts w:hint="default"/>
        <w:lang w:val="en-US" w:eastAsia="en-US" w:bidi="ar-SA"/>
      </w:rPr>
    </w:lvl>
    <w:lvl w:ilvl="2" w:tplc="246A605A">
      <w:numFmt w:val="bullet"/>
      <w:lvlText w:val="•"/>
      <w:lvlJc w:val="left"/>
      <w:pPr>
        <w:ind w:left="2409" w:hanging="171"/>
      </w:pPr>
      <w:rPr>
        <w:rFonts w:hint="default"/>
        <w:lang w:val="en-US" w:eastAsia="en-US" w:bidi="ar-SA"/>
      </w:rPr>
    </w:lvl>
    <w:lvl w:ilvl="3" w:tplc="DBE0B2AE">
      <w:numFmt w:val="bullet"/>
      <w:lvlText w:val="•"/>
      <w:lvlJc w:val="left"/>
      <w:pPr>
        <w:ind w:left="3469" w:hanging="171"/>
      </w:pPr>
      <w:rPr>
        <w:rFonts w:hint="default"/>
        <w:lang w:val="en-US" w:eastAsia="en-US" w:bidi="ar-SA"/>
      </w:rPr>
    </w:lvl>
    <w:lvl w:ilvl="4" w:tplc="294807F6">
      <w:numFmt w:val="bullet"/>
      <w:lvlText w:val="•"/>
      <w:lvlJc w:val="left"/>
      <w:pPr>
        <w:ind w:left="4529" w:hanging="171"/>
      </w:pPr>
      <w:rPr>
        <w:rFonts w:hint="default"/>
        <w:lang w:val="en-US" w:eastAsia="en-US" w:bidi="ar-SA"/>
      </w:rPr>
    </w:lvl>
    <w:lvl w:ilvl="5" w:tplc="BDA62BFA">
      <w:numFmt w:val="bullet"/>
      <w:lvlText w:val="•"/>
      <w:lvlJc w:val="left"/>
      <w:pPr>
        <w:ind w:left="5589" w:hanging="171"/>
      </w:pPr>
      <w:rPr>
        <w:rFonts w:hint="default"/>
        <w:lang w:val="en-US" w:eastAsia="en-US" w:bidi="ar-SA"/>
      </w:rPr>
    </w:lvl>
    <w:lvl w:ilvl="6" w:tplc="5D0ADA78">
      <w:numFmt w:val="bullet"/>
      <w:lvlText w:val="•"/>
      <w:lvlJc w:val="left"/>
      <w:pPr>
        <w:ind w:left="6649" w:hanging="171"/>
      </w:pPr>
      <w:rPr>
        <w:rFonts w:hint="default"/>
        <w:lang w:val="en-US" w:eastAsia="en-US" w:bidi="ar-SA"/>
      </w:rPr>
    </w:lvl>
    <w:lvl w:ilvl="7" w:tplc="BB6A4AEE">
      <w:numFmt w:val="bullet"/>
      <w:lvlText w:val="•"/>
      <w:lvlJc w:val="left"/>
      <w:pPr>
        <w:ind w:left="7709" w:hanging="171"/>
      </w:pPr>
      <w:rPr>
        <w:rFonts w:hint="default"/>
        <w:lang w:val="en-US" w:eastAsia="en-US" w:bidi="ar-SA"/>
      </w:rPr>
    </w:lvl>
    <w:lvl w:ilvl="8" w:tplc="F260DA16">
      <w:numFmt w:val="bullet"/>
      <w:lvlText w:val="•"/>
      <w:lvlJc w:val="left"/>
      <w:pPr>
        <w:ind w:left="8769" w:hanging="171"/>
      </w:pPr>
      <w:rPr>
        <w:rFonts w:hint="default"/>
        <w:lang w:val="en-US" w:eastAsia="en-US" w:bidi="ar-SA"/>
      </w:rPr>
    </w:lvl>
  </w:abstractNum>
  <w:abstractNum w:abstractNumId="9" w15:restartNumberingAfterBreak="0">
    <w:nsid w:val="46B97D10"/>
    <w:multiLevelType w:val="hybridMultilevel"/>
    <w:tmpl w:val="35FECBF0"/>
    <w:lvl w:ilvl="0" w:tplc="AC3607B2">
      <w:start w:val="1"/>
      <w:numFmt w:val="decimal"/>
      <w:lvlText w:val="%1."/>
      <w:lvlJc w:val="left"/>
      <w:pPr>
        <w:ind w:left="480" w:hanging="360"/>
      </w:pPr>
      <w:rPr>
        <w:rFonts w:ascii="Calibri" w:eastAsia="Calibri" w:hAnsi="Calibri" w:cs="Calibri" w:hint="default"/>
        <w:b w:val="0"/>
        <w:bCs w:val="0"/>
        <w:i w:val="0"/>
        <w:iCs w:val="0"/>
        <w:spacing w:val="0"/>
        <w:w w:val="100"/>
        <w:sz w:val="22"/>
        <w:szCs w:val="22"/>
        <w:lang w:val="en-US" w:eastAsia="en-US" w:bidi="ar-SA"/>
      </w:rPr>
    </w:lvl>
    <w:lvl w:ilvl="1" w:tplc="B8E6ED5A">
      <w:start w:val="1"/>
      <w:numFmt w:val="lowerRoman"/>
      <w:lvlText w:val="%2."/>
      <w:lvlJc w:val="left"/>
      <w:pPr>
        <w:ind w:left="828" w:hanging="348"/>
      </w:pPr>
      <w:rPr>
        <w:rFonts w:ascii="Calibri" w:eastAsia="Calibri" w:hAnsi="Calibri" w:cs="Calibri" w:hint="default"/>
        <w:b w:val="0"/>
        <w:bCs w:val="0"/>
        <w:i w:val="0"/>
        <w:iCs w:val="0"/>
        <w:spacing w:val="-1"/>
        <w:w w:val="100"/>
        <w:sz w:val="22"/>
        <w:szCs w:val="22"/>
        <w:lang w:val="en-US" w:eastAsia="en-US" w:bidi="ar-SA"/>
      </w:rPr>
    </w:lvl>
    <w:lvl w:ilvl="2" w:tplc="52AC0EEC">
      <w:numFmt w:val="bullet"/>
      <w:lvlText w:val="•"/>
      <w:lvlJc w:val="left"/>
      <w:pPr>
        <w:ind w:left="1920" w:hanging="348"/>
      </w:pPr>
      <w:rPr>
        <w:rFonts w:hint="default"/>
        <w:lang w:val="en-US" w:eastAsia="en-US" w:bidi="ar-SA"/>
      </w:rPr>
    </w:lvl>
    <w:lvl w:ilvl="3" w:tplc="D256E69A">
      <w:numFmt w:val="bullet"/>
      <w:lvlText w:val="•"/>
      <w:lvlJc w:val="left"/>
      <w:pPr>
        <w:ind w:left="3020" w:hanging="348"/>
      </w:pPr>
      <w:rPr>
        <w:rFonts w:hint="default"/>
        <w:lang w:val="en-US" w:eastAsia="en-US" w:bidi="ar-SA"/>
      </w:rPr>
    </w:lvl>
    <w:lvl w:ilvl="4" w:tplc="5C687FD8">
      <w:numFmt w:val="bullet"/>
      <w:lvlText w:val="•"/>
      <w:lvlJc w:val="left"/>
      <w:pPr>
        <w:ind w:left="4120" w:hanging="348"/>
      </w:pPr>
      <w:rPr>
        <w:rFonts w:hint="default"/>
        <w:lang w:val="en-US" w:eastAsia="en-US" w:bidi="ar-SA"/>
      </w:rPr>
    </w:lvl>
    <w:lvl w:ilvl="5" w:tplc="E24034D2">
      <w:numFmt w:val="bullet"/>
      <w:lvlText w:val="•"/>
      <w:lvlJc w:val="left"/>
      <w:pPr>
        <w:ind w:left="5220" w:hanging="348"/>
      </w:pPr>
      <w:rPr>
        <w:rFonts w:hint="default"/>
        <w:lang w:val="en-US" w:eastAsia="en-US" w:bidi="ar-SA"/>
      </w:rPr>
    </w:lvl>
    <w:lvl w:ilvl="6" w:tplc="D61A42AC">
      <w:numFmt w:val="bullet"/>
      <w:lvlText w:val="•"/>
      <w:lvlJc w:val="left"/>
      <w:pPr>
        <w:ind w:left="6320" w:hanging="348"/>
      </w:pPr>
      <w:rPr>
        <w:rFonts w:hint="default"/>
        <w:lang w:val="en-US" w:eastAsia="en-US" w:bidi="ar-SA"/>
      </w:rPr>
    </w:lvl>
    <w:lvl w:ilvl="7" w:tplc="33B29956">
      <w:numFmt w:val="bullet"/>
      <w:lvlText w:val="•"/>
      <w:lvlJc w:val="left"/>
      <w:pPr>
        <w:ind w:left="7420" w:hanging="348"/>
      </w:pPr>
      <w:rPr>
        <w:rFonts w:hint="default"/>
        <w:lang w:val="en-US" w:eastAsia="en-US" w:bidi="ar-SA"/>
      </w:rPr>
    </w:lvl>
    <w:lvl w:ilvl="8" w:tplc="12A24BB6">
      <w:numFmt w:val="bullet"/>
      <w:lvlText w:val="•"/>
      <w:lvlJc w:val="left"/>
      <w:pPr>
        <w:ind w:left="8520" w:hanging="348"/>
      </w:pPr>
      <w:rPr>
        <w:rFonts w:hint="default"/>
        <w:lang w:val="en-US" w:eastAsia="en-US" w:bidi="ar-SA"/>
      </w:rPr>
    </w:lvl>
  </w:abstractNum>
  <w:abstractNum w:abstractNumId="10" w15:restartNumberingAfterBreak="0">
    <w:nsid w:val="471B1866"/>
    <w:multiLevelType w:val="hybridMultilevel"/>
    <w:tmpl w:val="44DABFA2"/>
    <w:lvl w:ilvl="0" w:tplc="2F52BBD6">
      <w:start w:val="1"/>
      <w:numFmt w:val="decimal"/>
      <w:lvlText w:val="%1."/>
      <w:lvlJc w:val="left"/>
      <w:pPr>
        <w:ind w:left="120" w:hanging="219"/>
      </w:pPr>
      <w:rPr>
        <w:rFonts w:hint="default"/>
        <w:color w:val="auto"/>
        <w:spacing w:val="0"/>
        <w:w w:val="100"/>
        <w:lang w:val="en-US" w:eastAsia="en-US" w:bidi="ar-SA"/>
      </w:rPr>
    </w:lvl>
    <w:lvl w:ilvl="1" w:tplc="DD1E4D9A">
      <w:start w:val="1"/>
      <w:numFmt w:val="decimal"/>
      <w:lvlText w:val="%2."/>
      <w:lvlJc w:val="left"/>
      <w:pPr>
        <w:ind w:left="828" w:hanging="356"/>
      </w:pPr>
      <w:rPr>
        <w:rFonts w:ascii="Calibri" w:eastAsia="Calibri" w:hAnsi="Calibri" w:cs="Calibri" w:hint="default"/>
        <w:b w:val="0"/>
        <w:bCs w:val="0"/>
        <w:i w:val="0"/>
        <w:iCs w:val="0"/>
        <w:spacing w:val="0"/>
        <w:w w:val="100"/>
        <w:sz w:val="22"/>
        <w:szCs w:val="22"/>
        <w:lang w:val="en-US" w:eastAsia="en-US" w:bidi="ar-SA"/>
      </w:rPr>
    </w:lvl>
    <w:lvl w:ilvl="2" w:tplc="79FC41F0">
      <w:numFmt w:val="bullet"/>
      <w:lvlText w:val="•"/>
      <w:lvlJc w:val="left"/>
      <w:pPr>
        <w:ind w:left="1920" w:hanging="356"/>
      </w:pPr>
      <w:rPr>
        <w:rFonts w:hint="default"/>
        <w:lang w:val="en-US" w:eastAsia="en-US" w:bidi="ar-SA"/>
      </w:rPr>
    </w:lvl>
    <w:lvl w:ilvl="3" w:tplc="F3B880B2">
      <w:numFmt w:val="bullet"/>
      <w:lvlText w:val="•"/>
      <w:lvlJc w:val="left"/>
      <w:pPr>
        <w:ind w:left="3020" w:hanging="356"/>
      </w:pPr>
      <w:rPr>
        <w:rFonts w:hint="default"/>
        <w:lang w:val="en-US" w:eastAsia="en-US" w:bidi="ar-SA"/>
      </w:rPr>
    </w:lvl>
    <w:lvl w:ilvl="4" w:tplc="A5C27FE0">
      <w:numFmt w:val="bullet"/>
      <w:lvlText w:val="•"/>
      <w:lvlJc w:val="left"/>
      <w:pPr>
        <w:ind w:left="4120" w:hanging="356"/>
      </w:pPr>
      <w:rPr>
        <w:rFonts w:hint="default"/>
        <w:lang w:val="en-US" w:eastAsia="en-US" w:bidi="ar-SA"/>
      </w:rPr>
    </w:lvl>
    <w:lvl w:ilvl="5" w:tplc="4086A182">
      <w:numFmt w:val="bullet"/>
      <w:lvlText w:val="•"/>
      <w:lvlJc w:val="left"/>
      <w:pPr>
        <w:ind w:left="5220" w:hanging="356"/>
      </w:pPr>
      <w:rPr>
        <w:rFonts w:hint="default"/>
        <w:lang w:val="en-US" w:eastAsia="en-US" w:bidi="ar-SA"/>
      </w:rPr>
    </w:lvl>
    <w:lvl w:ilvl="6" w:tplc="8D628C56">
      <w:numFmt w:val="bullet"/>
      <w:lvlText w:val="•"/>
      <w:lvlJc w:val="left"/>
      <w:pPr>
        <w:ind w:left="6320" w:hanging="356"/>
      </w:pPr>
      <w:rPr>
        <w:rFonts w:hint="default"/>
        <w:lang w:val="en-US" w:eastAsia="en-US" w:bidi="ar-SA"/>
      </w:rPr>
    </w:lvl>
    <w:lvl w:ilvl="7" w:tplc="3F1C7FE8">
      <w:numFmt w:val="bullet"/>
      <w:lvlText w:val="•"/>
      <w:lvlJc w:val="left"/>
      <w:pPr>
        <w:ind w:left="7420" w:hanging="356"/>
      </w:pPr>
      <w:rPr>
        <w:rFonts w:hint="default"/>
        <w:lang w:val="en-US" w:eastAsia="en-US" w:bidi="ar-SA"/>
      </w:rPr>
    </w:lvl>
    <w:lvl w:ilvl="8" w:tplc="837EE188">
      <w:numFmt w:val="bullet"/>
      <w:lvlText w:val="•"/>
      <w:lvlJc w:val="left"/>
      <w:pPr>
        <w:ind w:left="8520" w:hanging="356"/>
      </w:pPr>
      <w:rPr>
        <w:rFonts w:hint="default"/>
        <w:lang w:val="en-US" w:eastAsia="en-US" w:bidi="ar-SA"/>
      </w:rPr>
    </w:lvl>
  </w:abstractNum>
  <w:abstractNum w:abstractNumId="11" w15:restartNumberingAfterBreak="0">
    <w:nsid w:val="47BDCA0A"/>
    <w:multiLevelType w:val="hybridMultilevel"/>
    <w:tmpl w:val="9ECED736"/>
    <w:lvl w:ilvl="0" w:tplc="E9064736">
      <w:start w:val="1"/>
      <w:numFmt w:val="bullet"/>
      <w:lvlText w:val="·"/>
      <w:lvlJc w:val="left"/>
      <w:pPr>
        <w:ind w:left="720" w:hanging="360"/>
      </w:pPr>
      <w:rPr>
        <w:rFonts w:ascii="Symbol" w:hAnsi="Symbol" w:hint="default"/>
      </w:rPr>
    </w:lvl>
    <w:lvl w:ilvl="1" w:tplc="61E62298">
      <w:start w:val="1"/>
      <w:numFmt w:val="bullet"/>
      <w:lvlText w:val="o"/>
      <w:lvlJc w:val="left"/>
      <w:pPr>
        <w:ind w:left="1440" w:hanging="360"/>
      </w:pPr>
      <w:rPr>
        <w:rFonts w:ascii="Courier New" w:hAnsi="Courier New" w:hint="default"/>
      </w:rPr>
    </w:lvl>
    <w:lvl w:ilvl="2" w:tplc="A0AED964">
      <w:start w:val="1"/>
      <w:numFmt w:val="bullet"/>
      <w:lvlText w:val=""/>
      <w:lvlJc w:val="left"/>
      <w:pPr>
        <w:ind w:left="2160" w:hanging="360"/>
      </w:pPr>
      <w:rPr>
        <w:rFonts w:ascii="Wingdings" w:hAnsi="Wingdings" w:hint="default"/>
      </w:rPr>
    </w:lvl>
    <w:lvl w:ilvl="3" w:tplc="8D56934C">
      <w:start w:val="1"/>
      <w:numFmt w:val="bullet"/>
      <w:lvlText w:val=""/>
      <w:lvlJc w:val="left"/>
      <w:pPr>
        <w:ind w:left="2880" w:hanging="360"/>
      </w:pPr>
      <w:rPr>
        <w:rFonts w:ascii="Symbol" w:hAnsi="Symbol" w:hint="default"/>
      </w:rPr>
    </w:lvl>
    <w:lvl w:ilvl="4" w:tplc="54802632">
      <w:start w:val="1"/>
      <w:numFmt w:val="bullet"/>
      <w:lvlText w:val="o"/>
      <w:lvlJc w:val="left"/>
      <w:pPr>
        <w:ind w:left="3600" w:hanging="360"/>
      </w:pPr>
      <w:rPr>
        <w:rFonts w:ascii="Courier New" w:hAnsi="Courier New" w:hint="default"/>
      </w:rPr>
    </w:lvl>
    <w:lvl w:ilvl="5" w:tplc="ACA4C536">
      <w:start w:val="1"/>
      <w:numFmt w:val="bullet"/>
      <w:lvlText w:val=""/>
      <w:lvlJc w:val="left"/>
      <w:pPr>
        <w:ind w:left="4320" w:hanging="360"/>
      </w:pPr>
      <w:rPr>
        <w:rFonts w:ascii="Wingdings" w:hAnsi="Wingdings" w:hint="default"/>
      </w:rPr>
    </w:lvl>
    <w:lvl w:ilvl="6" w:tplc="44026B82">
      <w:start w:val="1"/>
      <w:numFmt w:val="bullet"/>
      <w:lvlText w:val=""/>
      <w:lvlJc w:val="left"/>
      <w:pPr>
        <w:ind w:left="5040" w:hanging="360"/>
      </w:pPr>
      <w:rPr>
        <w:rFonts w:ascii="Symbol" w:hAnsi="Symbol" w:hint="default"/>
      </w:rPr>
    </w:lvl>
    <w:lvl w:ilvl="7" w:tplc="DED6710C">
      <w:start w:val="1"/>
      <w:numFmt w:val="bullet"/>
      <w:lvlText w:val="o"/>
      <w:lvlJc w:val="left"/>
      <w:pPr>
        <w:ind w:left="5760" w:hanging="360"/>
      </w:pPr>
      <w:rPr>
        <w:rFonts w:ascii="Courier New" w:hAnsi="Courier New" w:hint="default"/>
      </w:rPr>
    </w:lvl>
    <w:lvl w:ilvl="8" w:tplc="5CE64074">
      <w:start w:val="1"/>
      <w:numFmt w:val="bullet"/>
      <w:lvlText w:val=""/>
      <w:lvlJc w:val="left"/>
      <w:pPr>
        <w:ind w:left="6480" w:hanging="360"/>
      </w:pPr>
      <w:rPr>
        <w:rFonts w:ascii="Wingdings" w:hAnsi="Wingdings" w:hint="default"/>
      </w:rPr>
    </w:lvl>
  </w:abstractNum>
  <w:abstractNum w:abstractNumId="12" w15:restartNumberingAfterBreak="0">
    <w:nsid w:val="5E327021"/>
    <w:multiLevelType w:val="hybridMultilevel"/>
    <w:tmpl w:val="04D6FB5C"/>
    <w:lvl w:ilvl="0" w:tplc="D7B02116">
      <w:start w:val="1"/>
      <w:numFmt w:val="decimal"/>
      <w:lvlText w:val="%1."/>
      <w:lvlJc w:val="left"/>
      <w:pPr>
        <w:ind w:left="840" w:hanging="360"/>
      </w:pPr>
      <w:rPr>
        <w:rFonts w:ascii="Calibri" w:eastAsia="Calibri" w:hAnsi="Calibri" w:cs="Calibri" w:hint="default"/>
        <w:b w:val="0"/>
        <w:bCs w:val="0"/>
        <w:i w:val="0"/>
        <w:iCs w:val="0"/>
        <w:spacing w:val="0"/>
        <w:w w:val="100"/>
        <w:sz w:val="22"/>
        <w:szCs w:val="22"/>
        <w:lang w:val="en-US" w:eastAsia="en-US" w:bidi="ar-SA"/>
      </w:rPr>
    </w:lvl>
    <w:lvl w:ilvl="1" w:tplc="CC4E4796">
      <w:numFmt w:val="bullet"/>
      <w:lvlText w:val="•"/>
      <w:lvlJc w:val="left"/>
      <w:pPr>
        <w:ind w:left="1828" w:hanging="360"/>
      </w:pPr>
      <w:rPr>
        <w:rFonts w:hint="default"/>
        <w:lang w:val="en-US" w:eastAsia="en-US" w:bidi="ar-SA"/>
      </w:rPr>
    </w:lvl>
    <w:lvl w:ilvl="2" w:tplc="B8A047EC">
      <w:numFmt w:val="bullet"/>
      <w:lvlText w:val="•"/>
      <w:lvlJc w:val="left"/>
      <w:pPr>
        <w:ind w:left="2816" w:hanging="360"/>
      </w:pPr>
      <w:rPr>
        <w:rFonts w:hint="default"/>
        <w:lang w:val="en-US" w:eastAsia="en-US" w:bidi="ar-SA"/>
      </w:rPr>
    </w:lvl>
    <w:lvl w:ilvl="3" w:tplc="BB3C9F22">
      <w:numFmt w:val="bullet"/>
      <w:lvlText w:val="•"/>
      <w:lvlJc w:val="left"/>
      <w:pPr>
        <w:ind w:left="3804" w:hanging="360"/>
      </w:pPr>
      <w:rPr>
        <w:rFonts w:hint="default"/>
        <w:lang w:val="en-US" w:eastAsia="en-US" w:bidi="ar-SA"/>
      </w:rPr>
    </w:lvl>
    <w:lvl w:ilvl="4" w:tplc="48CE609E">
      <w:numFmt w:val="bullet"/>
      <w:lvlText w:val="•"/>
      <w:lvlJc w:val="left"/>
      <w:pPr>
        <w:ind w:left="4792" w:hanging="360"/>
      </w:pPr>
      <w:rPr>
        <w:rFonts w:hint="default"/>
        <w:lang w:val="en-US" w:eastAsia="en-US" w:bidi="ar-SA"/>
      </w:rPr>
    </w:lvl>
    <w:lvl w:ilvl="5" w:tplc="1A72F03E">
      <w:numFmt w:val="bullet"/>
      <w:lvlText w:val="•"/>
      <w:lvlJc w:val="left"/>
      <w:pPr>
        <w:ind w:left="5780" w:hanging="360"/>
      </w:pPr>
      <w:rPr>
        <w:rFonts w:hint="default"/>
        <w:lang w:val="en-US" w:eastAsia="en-US" w:bidi="ar-SA"/>
      </w:rPr>
    </w:lvl>
    <w:lvl w:ilvl="6" w:tplc="2CE47450">
      <w:numFmt w:val="bullet"/>
      <w:lvlText w:val="•"/>
      <w:lvlJc w:val="left"/>
      <w:pPr>
        <w:ind w:left="6768" w:hanging="360"/>
      </w:pPr>
      <w:rPr>
        <w:rFonts w:hint="default"/>
        <w:lang w:val="en-US" w:eastAsia="en-US" w:bidi="ar-SA"/>
      </w:rPr>
    </w:lvl>
    <w:lvl w:ilvl="7" w:tplc="9CA280E0">
      <w:numFmt w:val="bullet"/>
      <w:lvlText w:val="•"/>
      <w:lvlJc w:val="left"/>
      <w:pPr>
        <w:ind w:left="7756" w:hanging="360"/>
      </w:pPr>
      <w:rPr>
        <w:rFonts w:hint="default"/>
        <w:lang w:val="en-US" w:eastAsia="en-US" w:bidi="ar-SA"/>
      </w:rPr>
    </w:lvl>
    <w:lvl w:ilvl="8" w:tplc="7DEAEC78">
      <w:numFmt w:val="bullet"/>
      <w:lvlText w:val="•"/>
      <w:lvlJc w:val="left"/>
      <w:pPr>
        <w:ind w:left="8744" w:hanging="360"/>
      </w:pPr>
      <w:rPr>
        <w:rFonts w:hint="default"/>
        <w:lang w:val="en-US" w:eastAsia="en-US" w:bidi="ar-SA"/>
      </w:rPr>
    </w:lvl>
  </w:abstractNum>
  <w:abstractNum w:abstractNumId="13" w15:restartNumberingAfterBreak="0">
    <w:nsid w:val="6FC46EF7"/>
    <w:multiLevelType w:val="hybridMultilevel"/>
    <w:tmpl w:val="9EE2DAD4"/>
    <w:lvl w:ilvl="0" w:tplc="5CBE71A2">
      <w:numFmt w:val="bullet"/>
      <w:lvlText w:val=""/>
      <w:lvlJc w:val="left"/>
      <w:pPr>
        <w:ind w:left="480" w:hanging="360"/>
      </w:pPr>
      <w:rPr>
        <w:rFonts w:ascii="Symbol" w:eastAsia="Symbol" w:hAnsi="Symbol" w:cs="Symbol" w:hint="default"/>
        <w:b w:val="0"/>
        <w:bCs w:val="0"/>
        <w:i w:val="0"/>
        <w:iCs w:val="0"/>
        <w:spacing w:val="0"/>
        <w:w w:val="100"/>
        <w:sz w:val="22"/>
        <w:szCs w:val="22"/>
        <w:lang w:val="en-US" w:eastAsia="en-US" w:bidi="ar-SA"/>
      </w:rPr>
    </w:lvl>
    <w:lvl w:ilvl="1" w:tplc="EA66CDA4">
      <w:numFmt w:val="bullet"/>
      <w:lvlText w:val="•"/>
      <w:lvlJc w:val="left"/>
      <w:pPr>
        <w:ind w:left="1504" w:hanging="360"/>
      </w:pPr>
      <w:rPr>
        <w:rFonts w:hint="default"/>
        <w:lang w:val="en-US" w:eastAsia="en-US" w:bidi="ar-SA"/>
      </w:rPr>
    </w:lvl>
    <w:lvl w:ilvl="2" w:tplc="BDCE389E">
      <w:numFmt w:val="bullet"/>
      <w:lvlText w:val="•"/>
      <w:lvlJc w:val="left"/>
      <w:pPr>
        <w:ind w:left="2528" w:hanging="360"/>
      </w:pPr>
      <w:rPr>
        <w:rFonts w:hint="default"/>
        <w:lang w:val="en-US" w:eastAsia="en-US" w:bidi="ar-SA"/>
      </w:rPr>
    </w:lvl>
    <w:lvl w:ilvl="3" w:tplc="81D67950">
      <w:numFmt w:val="bullet"/>
      <w:lvlText w:val="•"/>
      <w:lvlJc w:val="left"/>
      <w:pPr>
        <w:ind w:left="3552" w:hanging="360"/>
      </w:pPr>
      <w:rPr>
        <w:rFonts w:hint="default"/>
        <w:lang w:val="en-US" w:eastAsia="en-US" w:bidi="ar-SA"/>
      </w:rPr>
    </w:lvl>
    <w:lvl w:ilvl="4" w:tplc="7AC4541C">
      <w:numFmt w:val="bullet"/>
      <w:lvlText w:val="•"/>
      <w:lvlJc w:val="left"/>
      <w:pPr>
        <w:ind w:left="4576" w:hanging="360"/>
      </w:pPr>
      <w:rPr>
        <w:rFonts w:hint="default"/>
        <w:lang w:val="en-US" w:eastAsia="en-US" w:bidi="ar-SA"/>
      </w:rPr>
    </w:lvl>
    <w:lvl w:ilvl="5" w:tplc="10143E90">
      <w:numFmt w:val="bullet"/>
      <w:lvlText w:val="•"/>
      <w:lvlJc w:val="left"/>
      <w:pPr>
        <w:ind w:left="5600" w:hanging="360"/>
      </w:pPr>
      <w:rPr>
        <w:rFonts w:hint="default"/>
        <w:lang w:val="en-US" w:eastAsia="en-US" w:bidi="ar-SA"/>
      </w:rPr>
    </w:lvl>
    <w:lvl w:ilvl="6" w:tplc="A4003158">
      <w:numFmt w:val="bullet"/>
      <w:lvlText w:val="•"/>
      <w:lvlJc w:val="left"/>
      <w:pPr>
        <w:ind w:left="6624" w:hanging="360"/>
      </w:pPr>
      <w:rPr>
        <w:rFonts w:hint="default"/>
        <w:lang w:val="en-US" w:eastAsia="en-US" w:bidi="ar-SA"/>
      </w:rPr>
    </w:lvl>
    <w:lvl w:ilvl="7" w:tplc="625CDE40">
      <w:numFmt w:val="bullet"/>
      <w:lvlText w:val="•"/>
      <w:lvlJc w:val="left"/>
      <w:pPr>
        <w:ind w:left="7648" w:hanging="360"/>
      </w:pPr>
      <w:rPr>
        <w:rFonts w:hint="default"/>
        <w:lang w:val="en-US" w:eastAsia="en-US" w:bidi="ar-SA"/>
      </w:rPr>
    </w:lvl>
    <w:lvl w:ilvl="8" w:tplc="C90C65C2">
      <w:numFmt w:val="bullet"/>
      <w:lvlText w:val="•"/>
      <w:lvlJc w:val="left"/>
      <w:pPr>
        <w:ind w:left="8672" w:hanging="360"/>
      </w:pPr>
      <w:rPr>
        <w:rFonts w:hint="default"/>
        <w:lang w:val="en-US" w:eastAsia="en-US" w:bidi="ar-SA"/>
      </w:rPr>
    </w:lvl>
  </w:abstractNum>
  <w:abstractNum w:abstractNumId="14" w15:restartNumberingAfterBreak="0">
    <w:nsid w:val="70C86BD0"/>
    <w:multiLevelType w:val="hybridMultilevel"/>
    <w:tmpl w:val="AC0CF2BE"/>
    <w:lvl w:ilvl="0" w:tplc="5A446BCA">
      <w:numFmt w:val="bullet"/>
      <w:lvlText w:val=""/>
      <w:lvlJc w:val="left"/>
      <w:pPr>
        <w:ind w:left="467" w:hanging="360"/>
      </w:pPr>
      <w:rPr>
        <w:rFonts w:ascii="Symbol" w:eastAsia="Symbol" w:hAnsi="Symbol" w:cs="Symbol" w:hint="default"/>
        <w:b w:val="0"/>
        <w:bCs w:val="0"/>
        <w:i w:val="0"/>
        <w:iCs w:val="0"/>
        <w:spacing w:val="0"/>
        <w:w w:val="100"/>
        <w:sz w:val="22"/>
        <w:szCs w:val="22"/>
        <w:lang w:val="en-US" w:eastAsia="en-US" w:bidi="ar-SA"/>
      </w:rPr>
    </w:lvl>
    <w:lvl w:ilvl="1" w:tplc="85D00844">
      <w:numFmt w:val="bullet"/>
      <w:lvlText w:val="•"/>
      <w:lvlJc w:val="left"/>
      <w:pPr>
        <w:ind w:left="1073" w:hanging="360"/>
      </w:pPr>
      <w:rPr>
        <w:rFonts w:hint="default"/>
        <w:lang w:val="en-US" w:eastAsia="en-US" w:bidi="ar-SA"/>
      </w:rPr>
    </w:lvl>
    <w:lvl w:ilvl="2" w:tplc="97145D90">
      <w:numFmt w:val="bullet"/>
      <w:lvlText w:val="•"/>
      <w:lvlJc w:val="left"/>
      <w:pPr>
        <w:ind w:left="1686" w:hanging="360"/>
      </w:pPr>
      <w:rPr>
        <w:rFonts w:hint="default"/>
        <w:lang w:val="en-US" w:eastAsia="en-US" w:bidi="ar-SA"/>
      </w:rPr>
    </w:lvl>
    <w:lvl w:ilvl="3" w:tplc="E56299D2">
      <w:numFmt w:val="bullet"/>
      <w:lvlText w:val="•"/>
      <w:lvlJc w:val="left"/>
      <w:pPr>
        <w:ind w:left="2299" w:hanging="360"/>
      </w:pPr>
      <w:rPr>
        <w:rFonts w:hint="default"/>
        <w:lang w:val="en-US" w:eastAsia="en-US" w:bidi="ar-SA"/>
      </w:rPr>
    </w:lvl>
    <w:lvl w:ilvl="4" w:tplc="74E63AC2">
      <w:numFmt w:val="bullet"/>
      <w:lvlText w:val="•"/>
      <w:lvlJc w:val="left"/>
      <w:pPr>
        <w:ind w:left="2913" w:hanging="360"/>
      </w:pPr>
      <w:rPr>
        <w:rFonts w:hint="default"/>
        <w:lang w:val="en-US" w:eastAsia="en-US" w:bidi="ar-SA"/>
      </w:rPr>
    </w:lvl>
    <w:lvl w:ilvl="5" w:tplc="76AC0414">
      <w:numFmt w:val="bullet"/>
      <w:lvlText w:val="•"/>
      <w:lvlJc w:val="left"/>
      <w:pPr>
        <w:ind w:left="3526" w:hanging="360"/>
      </w:pPr>
      <w:rPr>
        <w:rFonts w:hint="default"/>
        <w:lang w:val="en-US" w:eastAsia="en-US" w:bidi="ar-SA"/>
      </w:rPr>
    </w:lvl>
    <w:lvl w:ilvl="6" w:tplc="CFBE378A">
      <w:numFmt w:val="bullet"/>
      <w:lvlText w:val="•"/>
      <w:lvlJc w:val="left"/>
      <w:pPr>
        <w:ind w:left="4139" w:hanging="360"/>
      </w:pPr>
      <w:rPr>
        <w:rFonts w:hint="default"/>
        <w:lang w:val="en-US" w:eastAsia="en-US" w:bidi="ar-SA"/>
      </w:rPr>
    </w:lvl>
    <w:lvl w:ilvl="7" w:tplc="20A00D98">
      <w:numFmt w:val="bullet"/>
      <w:lvlText w:val="•"/>
      <w:lvlJc w:val="left"/>
      <w:pPr>
        <w:ind w:left="4753" w:hanging="360"/>
      </w:pPr>
      <w:rPr>
        <w:rFonts w:hint="default"/>
        <w:lang w:val="en-US" w:eastAsia="en-US" w:bidi="ar-SA"/>
      </w:rPr>
    </w:lvl>
    <w:lvl w:ilvl="8" w:tplc="CB88B1FC">
      <w:numFmt w:val="bullet"/>
      <w:lvlText w:val="•"/>
      <w:lvlJc w:val="left"/>
      <w:pPr>
        <w:ind w:left="5366" w:hanging="360"/>
      </w:pPr>
      <w:rPr>
        <w:rFonts w:hint="default"/>
        <w:lang w:val="en-US" w:eastAsia="en-US" w:bidi="ar-SA"/>
      </w:rPr>
    </w:lvl>
  </w:abstractNum>
  <w:abstractNum w:abstractNumId="15" w15:restartNumberingAfterBreak="0">
    <w:nsid w:val="7B036827"/>
    <w:multiLevelType w:val="hybridMultilevel"/>
    <w:tmpl w:val="FB940A6A"/>
    <w:lvl w:ilvl="0" w:tplc="139EDA5A">
      <w:numFmt w:val="bullet"/>
      <w:lvlText w:val="•"/>
      <w:lvlJc w:val="left"/>
      <w:pPr>
        <w:ind w:left="120" w:hanging="171"/>
      </w:pPr>
      <w:rPr>
        <w:rFonts w:ascii="Calibri" w:eastAsia="Calibri" w:hAnsi="Calibri" w:cs="Calibri" w:hint="default"/>
        <w:b w:val="0"/>
        <w:bCs w:val="0"/>
        <w:i w:val="0"/>
        <w:iCs w:val="0"/>
        <w:spacing w:val="0"/>
        <w:w w:val="100"/>
        <w:sz w:val="22"/>
        <w:szCs w:val="22"/>
        <w:lang w:val="en-US" w:eastAsia="en-US" w:bidi="ar-SA"/>
      </w:rPr>
    </w:lvl>
    <w:lvl w:ilvl="1" w:tplc="2FFE7646">
      <w:numFmt w:val="bullet"/>
      <w:lvlText w:val=""/>
      <w:lvlJc w:val="left"/>
      <w:pPr>
        <w:ind w:left="833" w:hanging="356"/>
      </w:pPr>
      <w:rPr>
        <w:rFonts w:ascii="Symbol" w:eastAsia="Symbol" w:hAnsi="Symbol" w:cs="Symbol" w:hint="default"/>
        <w:b w:val="0"/>
        <w:bCs w:val="0"/>
        <w:i w:val="0"/>
        <w:iCs w:val="0"/>
        <w:spacing w:val="0"/>
        <w:w w:val="100"/>
        <w:sz w:val="22"/>
        <w:szCs w:val="22"/>
        <w:lang w:val="en-US" w:eastAsia="en-US" w:bidi="ar-SA"/>
      </w:rPr>
    </w:lvl>
    <w:lvl w:ilvl="2" w:tplc="FBA6CD1C">
      <w:numFmt w:val="bullet"/>
      <w:lvlText w:val="•"/>
      <w:lvlJc w:val="left"/>
      <w:pPr>
        <w:ind w:left="1937" w:hanging="356"/>
      </w:pPr>
      <w:rPr>
        <w:rFonts w:hint="default"/>
        <w:lang w:val="en-US" w:eastAsia="en-US" w:bidi="ar-SA"/>
      </w:rPr>
    </w:lvl>
    <w:lvl w:ilvl="3" w:tplc="2D46620E">
      <w:numFmt w:val="bullet"/>
      <w:lvlText w:val="•"/>
      <w:lvlJc w:val="left"/>
      <w:pPr>
        <w:ind w:left="3035" w:hanging="356"/>
      </w:pPr>
      <w:rPr>
        <w:rFonts w:hint="default"/>
        <w:lang w:val="en-US" w:eastAsia="en-US" w:bidi="ar-SA"/>
      </w:rPr>
    </w:lvl>
    <w:lvl w:ilvl="4" w:tplc="0C36BB4C">
      <w:numFmt w:val="bullet"/>
      <w:lvlText w:val="•"/>
      <w:lvlJc w:val="left"/>
      <w:pPr>
        <w:ind w:left="4133" w:hanging="356"/>
      </w:pPr>
      <w:rPr>
        <w:rFonts w:hint="default"/>
        <w:lang w:val="en-US" w:eastAsia="en-US" w:bidi="ar-SA"/>
      </w:rPr>
    </w:lvl>
    <w:lvl w:ilvl="5" w:tplc="01F4255A">
      <w:numFmt w:val="bullet"/>
      <w:lvlText w:val="•"/>
      <w:lvlJc w:val="left"/>
      <w:pPr>
        <w:ind w:left="5231" w:hanging="356"/>
      </w:pPr>
      <w:rPr>
        <w:rFonts w:hint="default"/>
        <w:lang w:val="en-US" w:eastAsia="en-US" w:bidi="ar-SA"/>
      </w:rPr>
    </w:lvl>
    <w:lvl w:ilvl="6" w:tplc="523C1BAE">
      <w:numFmt w:val="bullet"/>
      <w:lvlText w:val="•"/>
      <w:lvlJc w:val="left"/>
      <w:pPr>
        <w:ind w:left="6328" w:hanging="356"/>
      </w:pPr>
      <w:rPr>
        <w:rFonts w:hint="default"/>
        <w:lang w:val="en-US" w:eastAsia="en-US" w:bidi="ar-SA"/>
      </w:rPr>
    </w:lvl>
    <w:lvl w:ilvl="7" w:tplc="257C5016">
      <w:numFmt w:val="bullet"/>
      <w:lvlText w:val="•"/>
      <w:lvlJc w:val="left"/>
      <w:pPr>
        <w:ind w:left="7426" w:hanging="356"/>
      </w:pPr>
      <w:rPr>
        <w:rFonts w:hint="default"/>
        <w:lang w:val="en-US" w:eastAsia="en-US" w:bidi="ar-SA"/>
      </w:rPr>
    </w:lvl>
    <w:lvl w:ilvl="8" w:tplc="B4849E58">
      <w:numFmt w:val="bullet"/>
      <w:lvlText w:val="•"/>
      <w:lvlJc w:val="left"/>
      <w:pPr>
        <w:ind w:left="8524" w:hanging="356"/>
      </w:pPr>
      <w:rPr>
        <w:rFonts w:hint="default"/>
        <w:lang w:val="en-US" w:eastAsia="en-US" w:bidi="ar-SA"/>
      </w:rPr>
    </w:lvl>
  </w:abstractNum>
  <w:num w:numId="1" w16cid:durableId="106239515">
    <w:abstractNumId w:val="11"/>
  </w:num>
  <w:num w:numId="2" w16cid:durableId="1518688013">
    <w:abstractNumId w:val="3"/>
  </w:num>
  <w:num w:numId="3" w16cid:durableId="997658612">
    <w:abstractNumId w:val="7"/>
  </w:num>
  <w:num w:numId="4" w16cid:durableId="1074937454">
    <w:abstractNumId w:val="15"/>
  </w:num>
  <w:num w:numId="5" w16cid:durableId="1531912224">
    <w:abstractNumId w:val="14"/>
  </w:num>
  <w:num w:numId="6" w16cid:durableId="423381368">
    <w:abstractNumId w:val="1"/>
  </w:num>
  <w:num w:numId="7" w16cid:durableId="1834487124">
    <w:abstractNumId w:val="13"/>
  </w:num>
  <w:num w:numId="8" w16cid:durableId="1894808972">
    <w:abstractNumId w:val="8"/>
  </w:num>
  <w:num w:numId="9" w16cid:durableId="357972278">
    <w:abstractNumId w:val="9"/>
  </w:num>
  <w:num w:numId="10" w16cid:durableId="1359819452">
    <w:abstractNumId w:val="6"/>
  </w:num>
  <w:num w:numId="11" w16cid:durableId="1637297289">
    <w:abstractNumId w:val="12"/>
  </w:num>
  <w:num w:numId="12" w16cid:durableId="1313831610">
    <w:abstractNumId w:val="10"/>
  </w:num>
  <w:num w:numId="13" w16cid:durableId="1435637080">
    <w:abstractNumId w:val="0"/>
  </w:num>
  <w:num w:numId="14" w16cid:durableId="1143078971">
    <w:abstractNumId w:val="5"/>
  </w:num>
  <w:num w:numId="15" w16cid:durableId="704135195">
    <w:abstractNumId w:val="2"/>
  </w:num>
  <w:num w:numId="16" w16cid:durableId="767090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E95"/>
    <w:rsid w:val="0001546C"/>
    <w:rsid w:val="000339A8"/>
    <w:rsid w:val="0003407E"/>
    <w:rsid w:val="000365DB"/>
    <w:rsid w:val="00057A9A"/>
    <w:rsid w:val="000672F1"/>
    <w:rsid w:val="00074097"/>
    <w:rsid w:val="00092412"/>
    <w:rsid w:val="00095ED7"/>
    <w:rsid w:val="000A673C"/>
    <w:rsid w:val="000B27B0"/>
    <w:rsid w:val="000B3370"/>
    <w:rsid w:val="000B6BC5"/>
    <w:rsid w:val="000B7DDE"/>
    <w:rsid w:val="000C10E3"/>
    <w:rsid w:val="000C51A2"/>
    <w:rsid w:val="000C5753"/>
    <w:rsid w:val="000D19DF"/>
    <w:rsid w:val="000D22BF"/>
    <w:rsid w:val="000E1DBA"/>
    <w:rsid w:val="000E2E95"/>
    <w:rsid w:val="000F1FC4"/>
    <w:rsid w:val="000F7566"/>
    <w:rsid w:val="00104B3A"/>
    <w:rsid w:val="001059D4"/>
    <w:rsid w:val="001070D0"/>
    <w:rsid w:val="00120E69"/>
    <w:rsid w:val="00132387"/>
    <w:rsid w:val="001358F4"/>
    <w:rsid w:val="001400E1"/>
    <w:rsid w:val="0014559C"/>
    <w:rsid w:val="00150D2A"/>
    <w:rsid w:val="00150E68"/>
    <w:rsid w:val="0015159F"/>
    <w:rsid w:val="001619DF"/>
    <w:rsid w:val="001939B3"/>
    <w:rsid w:val="001A276E"/>
    <w:rsid w:val="001A5C58"/>
    <w:rsid w:val="001A71C9"/>
    <w:rsid w:val="001B132F"/>
    <w:rsid w:val="001C7A75"/>
    <w:rsid w:val="001F3437"/>
    <w:rsid w:val="001F6B98"/>
    <w:rsid w:val="00201B30"/>
    <w:rsid w:val="00207889"/>
    <w:rsid w:val="002154AF"/>
    <w:rsid w:val="00222CDA"/>
    <w:rsid w:val="00226A69"/>
    <w:rsid w:val="00227554"/>
    <w:rsid w:val="002327A7"/>
    <w:rsid w:val="002370FA"/>
    <w:rsid w:val="00242111"/>
    <w:rsid w:val="002452DD"/>
    <w:rsid w:val="00253E1F"/>
    <w:rsid w:val="0027039D"/>
    <w:rsid w:val="00273D09"/>
    <w:rsid w:val="002820BD"/>
    <w:rsid w:val="00284405"/>
    <w:rsid w:val="00284E89"/>
    <w:rsid w:val="00285521"/>
    <w:rsid w:val="002A5F1B"/>
    <w:rsid w:val="002B4D9B"/>
    <w:rsid w:val="002C01CC"/>
    <w:rsid w:val="002C0BD1"/>
    <w:rsid w:val="002C1FE7"/>
    <w:rsid w:val="002D461C"/>
    <w:rsid w:val="002F1DE9"/>
    <w:rsid w:val="002F2BDA"/>
    <w:rsid w:val="00300171"/>
    <w:rsid w:val="003060BD"/>
    <w:rsid w:val="003126C2"/>
    <w:rsid w:val="00330EFD"/>
    <w:rsid w:val="00333E42"/>
    <w:rsid w:val="00335B9B"/>
    <w:rsid w:val="00341A0D"/>
    <w:rsid w:val="003422BD"/>
    <w:rsid w:val="00344EE2"/>
    <w:rsid w:val="00347DD9"/>
    <w:rsid w:val="00353508"/>
    <w:rsid w:val="00372C7C"/>
    <w:rsid w:val="00386EE2"/>
    <w:rsid w:val="0039756E"/>
    <w:rsid w:val="003A0626"/>
    <w:rsid w:val="003A0A32"/>
    <w:rsid w:val="003A21E7"/>
    <w:rsid w:val="003A51F5"/>
    <w:rsid w:val="003A64F7"/>
    <w:rsid w:val="003B030D"/>
    <w:rsid w:val="003B7FF9"/>
    <w:rsid w:val="003C3314"/>
    <w:rsid w:val="003D5873"/>
    <w:rsid w:val="003D63E4"/>
    <w:rsid w:val="003E31BA"/>
    <w:rsid w:val="003E74AC"/>
    <w:rsid w:val="003F1F88"/>
    <w:rsid w:val="003F2DD6"/>
    <w:rsid w:val="00427FC9"/>
    <w:rsid w:val="0044167E"/>
    <w:rsid w:val="00452048"/>
    <w:rsid w:val="00456BFC"/>
    <w:rsid w:val="0046273A"/>
    <w:rsid w:val="0046323C"/>
    <w:rsid w:val="004676AE"/>
    <w:rsid w:val="00472B48"/>
    <w:rsid w:val="00481546"/>
    <w:rsid w:val="004823EE"/>
    <w:rsid w:val="00491838"/>
    <w:rsid w:val="00491AB1"/>
    <w:rsid w:val="004925BB"/>
    <w:rsid w:val="00493D79"/>
    <w:rsid w:val="00494B29"/>
    <w:rsid w:val="00497C80"/>
    <w:rsid w:val="004A4475"/>
    <w:rsid w:val="004C2105"/>
    <w:rsid w:val="004C35F2"/>
    <w:rsid w:val="004C647B"/>
    <w:rsid w:val="004D47AB"/>
    <w:rsid w:val="004E0A66"/>
    <w:rsid w:val="004E6A1E"/>
    <w:rsid w:val="004E769A"/>
    <w:rsid w:val="005031C8"/>
    <w:rsid w:val="00513041"/>
    <w:rsid w:val="0052253E"/>
    <w:rsid w:val="00550DB2"/>
    <w:rsid w:val="00554FFD"/>
    <w:rsid w:val="005669CE"/>
    <w:rsid w:val="00567A9C"/>
    <w:rsid w:val="00570950"/>
    <w:rsid w:val="00576901"/>
    <w:rsid w:val="00587F24"/>
    <w:rsid w:val="00593169"/>
    <w:rsid w:val="005A18F0"/>
    <w:rsid w:val="005A3AA2"/>
    <w:rsid w:val="005A5E93"/>
    <w:rsid w:val="005B45EB"/>
    <w:rsid w:val="005C0A31"/>
    <w:rsid w:val="005C314E"/>
    <w:rsid w:val="005D49E9"/>
    <w:rsid w:val="005E0B0A"/>
    <w:rsid w:val="00607CF0"/>
    <w:rsid w:val="00615B67"/>
    <w:rsid w:val="006249CA"/>
    <w:rsid w:val="00634F1A"/>
    <w:rsid w:val="0063768F"/>
    <w:rsid w:val="00654FB1"/>
    <w:rsid w:val="006563ED"/>
    <w:rsid w:val="00661606"/>
    <w:rsid w:val="006637DB"/>
    <w:rsid w:val="00665167"/>
    <w:rsid w:val="00673447"/>
    <w:rsid w:val="00673565"/>
    <w:rsid w:val="00676C01"/>
    <w:rsid w:val="00677F5F"/>
    <w:rsid w:val="00687D46"/>
    <w:rsid w:val="006A2EC5"/>
    <w:rsid w:val="006A3D8C"/>
    <w:rsid w:val="006B439D"/>
    <w:rsid w:val="006D1168"/>
    <w:rsid w:val="006D7BA9"/>
    <w:rsid w:val="006E0C9E"/>
    <w:rsid w:val="006E4171"/>
    <w:rsid w:val="006E42B7"/>
    <w:rsid w:val="006F3D27"/>
    <w:rsid w:val="006F630B"/>
    <w:rsid w:val="006F74BE"/>
    <w:rsid w:val="00705583"/>
    <w:rsid w:val="00712796"/>
    <w:rsid w:val="0072180A"/>
    <w:rsid w:val="0072241F"/>
    <w:rsid w:val="007407BF"/>
    <w:rsid w:val="00755183"/>
    <w:rsid w:val="007553AE"/>
    <w:rsid w:val="00757E0E"/>
    <w:rsid w:val="00760B03"/>
    <w:rsid w:val="00766689"/>
    <w:rsid w:val="00767E93"/>
    <w:rsid w:val="007803E0"/>
    <w:rsid w:val="00784BFC"/>
    <w:rsid w:val="00790249"/>
    <w:rsid w:val="0079618F"/>
    <w:rsid w:val="00796550"/>
    <w:rsid w:val="007A26F4"/>
    <w:rsid w:val="007B5A6D"/>
    <w:rsid w:val="007C354A"/>
    <w:rsid w:val="007C690B"/>
    <w:rsid w:val="007D31DE"/>
    <w:rsid w:val="007D6080"/>
    <w:rsid w:val="007D7EAB"/>
    <w:rsid w:val="007E4A20"/>
    <w:rsid w:val="007E58CF"/>
    <w:rsid w:val="007E7EBE"/>
    <w:rsid w:val="007F636C"/>
    <w:rsid w:val="007F7ADD"/>
    <w:rsid w:val="00802599"/>
    <w:rsid w:val="0080433F"/>
    <w:rsid w:val="00812771"/>
    <w:rsid w:val="008176F9"/>
    <w:rsid w:val="00825CE6"/>
    <w:rsid w:val="008519F1"/>
    <w:rsid w:val="008534DE"/>
    <w:rsid w:val="00856C07"/>
    <w:rsid w:val="008622E9"/>
    <w:rsid w:val="00864FAB"/>
    <w:rsid w:val="008709E7"/>
    <w:rsid w:val="00876E97"/>
    <w:rsid w:val="008775A6"/>
    <w:rsid w:val="008A1B9D"/>
    <w:rsid w:val="008B3178"/>
    <w:rsid w:val="008B4226"/>
    <w:rsid w:val="008C6716"/>
    <w:rsid w:val="008E4CC0"/>
    <w:rsid w:val="008E6F1B"/>
    <w:rsid w:val="008E7E92"/>
    <w:rsid w:val="008F41BC"/>
    <w:rsid w:val="0090389A"/>
    <w:rsid w:val="009249CC"/>
    <w:rsid w:val="00926BDE"/>
    <w:rsid w:val="00926DC4"/>
    <w:rsid w:val="00934170"/>
    <w:rsid w:val="009359CA"/>
    <w:rsid w:val="00957A8C"/>
    <w:rsid w:val="00967DBD"/>
    <w:rsid w:val="00972621"/>
    <w:rsid w:val="0097751D"/>
    <w:rsid w:val="009833D4"/>
    <w:rsid w:val="00985070"/>
    <w:rsid w:val="00990A21"/>
    <w:rsid w:val="00995D3B"/>
    <w:rsid w:val="009A3979"/>
    <w:rsid w:val="009A75D7"/>
    <w:rsid w:val="009A76C6"/>
    <w:rsid w:val="009A7ED9"/>
    <w:rsid w:val="009B0B64"/>
    <w:rsid w:val="009B2CEE"/>
    <w:rsid w:val="009C66B5"/>
    <w:rsid w:val="009D7DC3"/>
    <w:rsid w:val="009E08CE"/>
    <w:rsid w:val="009F48D7"/>
    <w:rsid w:val="00A049B8"/>
    <w:rsid w:val="00A14297"/>
    <w:rsid w:val="00A37472"/>
    <w:rsid w:val="00A4123E"/>
    <w:rsid w:val="00A502F1"/>
    <w:rsid w:val="00A51962"/>
    <w:rsid w:val="00A60516"/>
    <w:rsid w:val="00A71E3C"/>
    <w:rsid w:val="00A72133"/>
    <w:rsid w:val="00A94EE3"/>
    <w:rsid w:val="00AB1F3C"/>
    <w:rsid w:val="00AD0372"/>
    <w:rsid w:val="00AD1DF9"/>
    <w:rsid w:val="00AD2395"/>
    <w:rsid w:val="00AD422F"/>
    <w:rsid w:val="00AE017E"/>
    <w:rsid w:val="00AE1F29"/>
    <w:rsid w:val="00AE323D"/>
    <w:rsid w:val="00AE78E3"/>
    <w:rsid w:val="00AE7C02"/>
    <w:rsid w:val="00AF0E1B"/>
    <w:rsid w:val="00AF1D46"/>
    <w:rsid w:val="00AF3DD1"/>
    <w:rsid w:val="00B02075"/>
    <w:rsid w:val="00B02524"/>
    <w:rsid w:val="00B120DF"/>
    <w:rsid w:val="00B24CD7"/>
    <w:rsid w:val="00B24D59"/>
    <w:rsid w:val="00B26DA8"/>
    <w:rsid w:val="00B45ABC"/>
    <w:rsid w:val="00B54824"/>
    <w:rsid w:val="00B64965"/>
    <w:rsid w:val="00B66990"/>
    <w:rsid w:val="00B71E03"/>
    <w:rsid w:val="00B8270A"/>
    <w:rsid w:val="00B838A3"/>
    <w:rsid w:val="00B86FFE"/>
    <w:rsid w:val="00BA22B8"/>
    <w:rsid w:val="00BA2B07"/>
    <w:rsid w:val="00BA2D23"/>
    <w:rsid w:val="00BA3889"/>
    <w:rsid w:val="00BA4B55"/>
    <w:rsid w:val="00BA5EEF"/>
    <w:rsid w:val="00BB104F"/>
    <w:rsid w:val="00BD2EEE"/>
    <w:rsid w:val="00BD4C6A"/>
    <w:rsid w:val="00BE57FB"/>
    <w:rsid w:val="00C0166C"/>
    <w:rsid w:val="00C0448E"/>
    <w:rsid w:val="00C12D2B"/>
    <w:rsid w:val="00C146BF"/>
    <w:rsid w:val="00C2506F"/>
    <w:rsid w:val="00C3061B"/>
    <w:rsid w:val="00C3115F"/>
    <w:rsid w:val="00C33C68"/>
    <w:rsid w:val="00C357A3"/>
    <w:rsid w:val="00C3761A"/>
    <w:rsid w:val="00C43FF2"/>
    <w:rsid w:val="00C51F4F"/>
    <w:rsid w:val="00C60395"/>
    <w:rsid w:val="00C6339A"/>
    <w:rsid w:val="00C634E5"/>
    <w:rsid w:val="00C66513"/>
    <w:rsid w:val="00C847D6"/>
    <w:rsid w:val="00CA3898"/>
    <w:rsid w:val="00CC258E"/>
    <w:rsid w:val="00CC3D86"/>
    <w:rsid w:val="00CD3E8D"/>
    <w:rsid w:val="00CD6AFB"/>
    <w:rsid w:val="00CE21D7"/>
    <w:rsid w:val="00CE33EF"/>
    <w:rsid w:val="00CE74C2"/>
    <w:rsid w:val="00CF0C48"/>
    <w:rsid w:val="00CF2EED"/>
    <w:rsid w:val="00CF7F9D"/>
    <w:rsid w:val="00D01722"/>
    <w:rsid w:val="00D03DD2"/>
    <w:rsid w:val="00D06445"/>
    <w:rsid w:val="00D10204"/>
    <w:rsid w:val="00D22B1F"/>
    <w:rsid w:val="00D377F2"/>
    <w:rsid w:val="00D42DD3"/>
    <w:rsid w:val="00D4445C"/>
    <w:rsid w:val="00D54DD1"/>
    <w:rsid w:val="00D66B9C"/>
    <w:rsid w:val="00D86F31"/>
    <w:rsid w:val="00D872C5"/>
    <w:rsid w:val="00D936C5"/>
    <w:rsid w:val="00D94CF5"/>
    <w:rsid w:val="00D97E9B"/>
    <w:rsid w:val="00DA235F"/>
    <w:rsid w:val="00DA7C4B"/>
    <w:rsid w:val="00DB0A1C"/>
    <w:rsid w:val="00DB78E8"/>
    <w:rsid w:val="00DC0724"/>
    <w:rsid w:val="00DC0E1C"/>
    <w:rsid w:val="00DC50CE"/>
    <w:rsid w:val="00DE45B8"/>
    <w:rsid w:val="00DE4AED"/>
    <w:rsid w:val="00DF4B5C"/>
    <w:rsid w:val="00E02D25"/>
    <w:rsid w:val="00E167AF"/>
    <w:rsid w:val="00E23E61"/>
    <w:rsid w:val="00E24560"/>
    <w:rsid w:val="00E47934"/>
    <w:rsid w:val="00E533AB"/>
    <w:rsid w:val="00E55C4B"/>
    <w:rsid w:val="00E66688"/>
    <w:rsid w:val="00E675C0"/>
    <w:rsid w:val="00E711A7"/>
    <w:rsid w:val="00E72241"/>
    <w:rsid w:val="00E76090"/>
    <w:rsid w:val="00E805CB"/>
    <w:rsid w:val="00E80D99"/>
    <w:rsid w:val="00E826A0"/>
    <w:rsid w:val="00E94716"/>
    <w:rsid w:val="00E95787"/>
    <w:rsid w:val="00EA2D06"/>
    <w:rsid w:val="00EA60C3"/>
    <w:rsid w:val="00EB082C"/>
    <w:rsid w:val="00EB2A91"/>
    <w:rsid w:val="00EB3741"/>
    <w:rsid w:val="00EB5269"/>
    <w:rsid w:val="00EC52E7"/>
    <w:rsid w:val="00ED53CC"/>
    <w:rsid w:val="00EE2E55"/>
    <w:rsid w:val="00EE2F9D"/>
    <w:rsid w:val="00EE7DEB"/>
    <w:rsid w:val="00EF221C"/>
    <w:rsid w:val="00EF4CAC"/>
    <w:rsid w:val="00F01155"/>
    <w:rsid w:val="00F0635E"/>
    <w:rsid w:val="00F16DAC"/>
    <w:rsid w:val="00F22539"/>
    <w:rsid w:val="00F25CF5"/>
    <w:rsid w:val="00F32013"/>
    <w:rsid w:val="00F3205D"/>
    <w:rsid w:val="00F43F40"/>
    <w:rsid w:val="00F74F47"/>
    <w:rsid w:val="00F77595"/>
    <w:rsid w:val="00F817F7"/>
    <w:rsid w:val="00F84A1C"/>
    <w:rsid w:val="00FA2620"/>
    <w:rsid w:val="00FA5245"/>
    <w:rsid w:val="00FA69FD"/>
    <w:rsid w:val="00FB2976"/>
    <w:rsid w:val="00FB5C68"/>
    <w:rsid w:val="00FB6EA2"/>
    <w:rsid w:val="00FD1215"/>
    <w:rsid w:val="00FE02FC"/>
    <w:rsid w:val="00FE320B"/>
    <w:rsid w:val="00FE4D53"/>
    <w:rsid w:val="01151404"/>
    <w:rsid w:val="014FB548"/>
    <w:rsid w:val="02CF11BA"/>
    <w:rsid w:val="07BCFF89"/>
    <w:rsid w:val="12403FBE"/>
    <w:rsid w:val="12C51229"/>
    <w:rsid w:val="133AE89D"/>
    <w:rsid w:val="140C4D1A"/>
    <w:rsid w:val="182833AD"/>
    <w:rsid w:val="1856A521"/>
    <w:rsid w:val="1A9D261E"/>
    <w:rsid w:val="1E38C0F8"/>
    <w:rsid w:val="2113BE63"/>
    <w:rsid w:val="218EC195"/>
    <w:rsid w:val="2D27BE74"/>
    <w:rsid w:val="32A5FB5C"/>
    <w:rsid w:val="37C44320"/>
    <w:rsid w:val="381423D8"/>
    <w:rsid w:val="3AC71617"/>
    <w:rsid w:val="3CF6FDCA"/>
    <w:rsid w:val="45B63067"/>
    <w:rsid w:val="46504D02"/>
    <w:rsid w:val="46CC3456"/>
    <w:rsid w:val="46F8F8AF"/>
    <w:rsid w:val="492106FA"/>
    <w:rsid w:val="4A10BFAA"/>
    <w:rsid w:val="4AB04A81"/>
    <w:rsid w:val="4B5EA7CE"/>
    <w:rsid w:val="4BB8B75F"/>
    <w:rsid w:val="4FDCBDD3"/>
    <w:rsid w:val="51829B3F"/>
    <w:rsid w:val="58B7F4CC"/>
    <w:rsid w:val="5A9C8FE6"/>
    <w:rsid w:val="5AD33FE0"/>
    <w:rsid w:val="5BF7C056"/>
    <w:rsid w:val="5D528295"/>
    <w:rsid w:val="5E3DB1EC"/>
    <w:rsid w:val="664376F4"/>
    <w:rsid w:val="687FEB8E"/>
    <w:rsid w:val="6AAD6EC7"/>
    <w:rsid w:val="6EDEF3A1"/>
    <w:rsid w:val="719FB2EC"/>
    <w:rsid w:val="71F000DC"/>
    <w:rsid w:val="73167DAF"/>
    <w:rsid w:val="7323A002"/>
    <w:rsid w:val="75D4BDE3"/>
    <w:rsid w:val="76ADABD3"/>
    <w:rsid w:val="7864F068"/>
    <w:rsid w:val="787616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8D146F"/>
  <w15:docId w15:val="{54ECDE59-F28E-4331-8C44-9910C6B43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n-GB"/>
    </w:rPr>
  </w:style>
  <w:style w:type="paragraph" w:styleId="Heading1">
    <w:name w:val="heading 1"/>
    <w:basedOn w:val="Normal"/>
    <w:link w:val="Heading1Char"/>
    <w:uiPriority w:val="1"/>
    <w:qFormat/>
    <w:pPr>
      <w:spacing w:before="1"/>
      <w:ind w:left="120"/>
      <w:outlineLvl w:val="0"/>
    </w:pPr>
    <w:rPr>
      <w:rFonts w:ascii="Calibri Light" w:eastAsia="Calibri Light" w:hAnsi="Calibri Light" w:cs="Calibri Light"/>
      <w:sz w:val="36"/>
      <w:szCs w:val="36"/>
    </w:rPr>
  </w:style>
  <w:style w:type="paragraph" w:styleId="Heading2">
    <w:name w:val="heading 2"/>
    <w:basedOn w:val="Normal"/>
    <w:uiPriority w:val="1"/>
    <w:qFormat/>
    <w:rsid w:val="003F1F88"/>
    <w:pPr>
      <w:spacing w:before="20"/>
      <w:ind w:left="120"/>
      <w:jc w:val="both"/>
      <w:outlineLvl w:val="1"/>
    </w:pPr>
    <w:rPr>
      <w:rFonts w:ascii="Calibri Light" w:eastAsia="Calibri Light" w:hAnsi="Calibri Light" w:cs="Calibri Light"/>
      <w:color w:val="2E5395"/>
      <w:sz w:val="32"/>
      <w:szCs w:val="32"/>
    </w:rPr>
  </w:style>
  <w:style w:type="paragraph" w:styleId="Heading3">
    <w:name w:val="heading 3"/>
    <w:basedOn w:val="Normal"/>
    <w:uiPriority w:val="1"/>
    <w:qFormat/>
    <w:pPr>
      <w:spacing w:before="239"/>
      <w:ind w:left="120"/>
      <w:outlineLvl w:val="2"/>
    </w:pPr>
    <w:rPr>
      <w:rFonts w:ascii="Calibri Light" w:eastAsia="Calibri Light" w:hAnsi="Calibri Light" w:cs="Calibri Light"/>
      <w:sz w:val="28"/>
      <w:szCs w:val="28"/>
    </w:rPr>
  </w:style>
  <w:style w:type="paragraph" w:styleId="Heading4">
    <w:name w:val="heading 4"/>
    <w:basedOn w:val="Normal"/>
    <w:uiPriority w:val="1"/>
    <w:qFormat/>
    <w:pPr>
      <w:spacing w:before="120"/>
      <w:ind w:left="120"/>
      <w:outlineLvl w:val="3"/>
    </w:pPr>
    <w:rPr>
      <w:b/>
      <w:bCs/>
      <w:sz w:val="24"/>
      <w:szCs w:val="24"/>
    </w:rPr>
  </w:style>
  <w:style w:type="paragraph" w:styleId="Heading5">
    <w:name w:val="heading 5"/>
    <w:basedOn w:val="Normal"/>
    <w:uiPriority w:val="1"/>
    <w:qFormat/>
    <w:pPr>
      <w:ind w:left="120"/>
      <w:outlineLvl w:val="4"/>
    </w:pPr>
    <w:rPr>
      <w:b/>
      <w:bCs/>
    </w:rPr>
  </w:style>
  <w:style w:type="paragraph" w:styleId="Heading6">
    <w:name w:val="heading 6"/>
    <w:basedOn w:val="Normal"/>
    <w:uiPriority w:val="1"/>
    <w:qFormat/>
    <w:pPr>
      <w:ind w:left="120"/>
      <w:outlineLvl w:val="5"/>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1"/>
      <w:ind w:left="100"/>
    </w:pPr>
  </w:style>
  <w:style w:type="paragraph" w:styleId="TOC2">
    <w:name w:val="toc 2"/>
    <w:basedOn w:val="Normal"/>
    <w:uiPriority w:val="39"/>
    <w:qFormat/>
    <w:pPr>
      <w:spacing w:before="120"/>
      <w:ind w:left="321"/>
    </w:pPr>
  </w:style>
  <w:style w:type="paragraph" w:styleId="TOC3">
    <w:name w:val="toc 3"/>
    <w:basedOn w:val="Normal"/>
    <w:uiPriority w:val="39"/>
    <w:qFormat/>
    <w:pPr>
      <w:spacing w:before="39"/>
      <w:ind w:left="321"/>
    </w:pPr>
    <w:rPr>
      <w:b/>
      <w:bCs/>
      <w:i/>
      <w:iCs/>
    </w:rPr>
  </w:style>
  <w:style w:type="paragraph" w:styleId="BodyText">
    <w:name w:val="Body Text"/>
    <w:basedOn w:val="Normal"/>
    <w:uiPriority w:val="1"/>
    <w:qFormat/>
    <w:rsid w:val="00341A0D"/>
    <w:pPr>
      <w:spacing w:before="159" w:line="259" w:lineRule="auto"/>
      <w:ind w:left="100" w:right="304"/>
      <w:jc w:val="both"/>
    </w:pPr>
  </w:style>
  <w:style w:type="paragraph" w:styleId="Title">
    <w:name w:val="Title"/>
    <w:basedOn w:val="Normal"/>
    <w:uiPriority w:val="1"/>
    <w:qFormat/>
    <w:pPr>
      <w:spacing w:before="20"/>
      <w:ind w:left="1067" w:right="1210" w:hanging="1"/>
      <w:jc w:val="center"/>
    </w:pPr>
    <w:rPr>
      <w:rFonts w:ascii="Calibri Light" w:eastAsia="Calibri Light" w:hAnsi="Calibri Light" w:cs="Calibri Light"/>
      <w:sz w:val="100"/>
      <w:szCs w:val="100"/>
    </w:rPr>
  </w:style>
  <w:style w:type="paragraph" w:styleId="ListParagraph">
    <w:name w:val="List Paragraph"/>
    <w:basedOn w:val="Normal"/>
    <w:uiPriority w:val="1"/>
    <w:qFormat/>
    <w:pPr>
      <w:ind w:left="289" w:hanging="360"/>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856C07"/>
    <w:rPr>
      <w:sz w:val="20"/>
      <w:szCs w:val="20"/>
    </w:rPr>
  </w:style>
  <w:style w:type="character" w:customStyle="1" w:styleId="FootnoteTextChar">
    <w:name w:val="Footnote Text Char"/>
    <w:basedOn w:val="DefaultParagraphFont"/>
    <w:link w:val="FootnoteText"/>
    <w:uiPriority w:val="99"/>
    <w:semiHidden/>
    <w:rsid w:val="00856C07"/>
    <w:rPr>
      <w:rFonts w:ascii="Calibri" w:eastAsia="Calibri" w:hAnsi="Calibri" w:cs="Calibri"/>
      <w:sz w:val="20"/>
      <w:szCs w:val="20"/>
    </w:rPr>
  </w:style>
  <w:style w:type="character" w:styleId="FootnoteReference">
    <w:name w:val="footnote reference"/>
    <w:basedOn w:val="DefaultParagraphFont"/>
    <w:uiPriority w:val="99"/>
    <w:semiHidden/>
    <w:unhideWhenUsed/>
    <w:rsid w:val="00856C07"/>
    <w:rPr>
      <w:vertAlign w:val="superscript"/>
    </w:rPr>
  </w:style>
  <w:style w:type="table" w:styleId="TableGrid">
    <w:name w:val="Table Grid"/>
    <w:basedOn w:val="TableNormal"/>
    <w:uiPriority w:val="39"/>
    <w:rsid w:val="000D1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52E7"/>
    <w:rPr>
      <w:color w:val="0000FF" w:themeColor="hyperlink"/>
      <w:u w:val="single"/>
    </w:rPr>
  </w:style>
  <w:style w:type="character" w:customStyle="1" w:styleId="UnresolvedMention1">
    <w:name w:val="Unresolved Mention1"/>
    <w:basedOn w:val="DefaultParagraphFont"/>
    <w:uiPriority w:val="99"/>
    <w:semiHidden/>
    <w:unhideWhenUsed/>
    <w:rsid w:val="00EC52E7"/>
    <w:rPr>
      <w:color w:val="605E5C"/>
      <w:shd w:val="clear" w:color="auto" w:fill="E1DFDD"/>
    </w:rPr>
  </w:style>
  <w:style w:type="character" w:styleId="FollowedHyperlink">
    <w:name w:val="FollowedHyperlink"/>
    <w:basedOn w:val="DefaultParagraphFont"/>
    <w:uiPriority w:val="99"/>
    <w:semiHidden/>
    <w:unhideWhenUsed/>
    <w:rsid w:val="000C51A2"/>
    <w:rPr>
      <w:color w:val="800080" w:themeColor="followedHyperlink"/>
      <w:u w:val="single"/>
    </w:rPr>
  </w:style>
  <w:style w:type="paragraph" w:styleId="Header">
    <w:name w:val="header"/>
    <w:basedOn w:val="Normal"/>
    <w:link w:val="HeaderChar"/>
    <w:uiPriority w:val="99"/>
    <w:unhideWhenUsed/>
    <w:rsid w:val="00285521"/>
    <w:pPr>
      <w:tabs>
        <w:tab w:val="center" w:pos="4513"/>
        <w:tab w:val="right" w:pos="9026"/>
      </w:tabs>
    </w:pPr>
  </w:style>
  <w:style w:type="character" w:customStyle="1" w:styleId="HeaderChar">
    <w:name w:val="Header Char"/>
    <w:basedOn w:val="DefaultParagraphFont"/>
    <w:link w:val="Header"/>
    <w:uiPriority w:val="99"/>
    <w:rsid w:val="00285521"/>
    <w:rPr>
      <w:rFonts w:ascii="Calibri" w:eastAsia="Calibri" w:hAnsi="Calibri" w:cs="Calibri"/>
    </w:rPr>
  </w:style>
  <w:style w:type="paragraph" w:styleId="Footer">
    <w:name w:val="footer"/>
    <w:basedOn w:val="Normal"/>
    <w:link w:val="FooterChar"/>
    <w:uiPriority w:val="99"/>
    <w:unhideWhenUsed/>
    <w:rsid w:val="00285521"/>
    <w:pPr>
      <w:tabs>
        <w:tab w:val="center" w:pos="4513"/>
        <w:tab w:val="right" w:pos="9026"/>
      </w:tabs>
    </w:pPr>
  </w:style>
  <w:style w:type="character" w:customStyle="1" w:styleId="FooterChar">
    <w:name w:val="Footer Char"/>
    <w:basedOn w:val="DefaultParagraphFont"/>
    <w:link w:val="Footer"/>
    <w:uiPriority w:val="99"/>
    <w:rsid w:val="00285521"/>
    <w:rPr>
      <w:rFonts w:ascii="Calibri" w:eastAsia="Calibri" w:hAnsi="Calibri" w:cs="Calibri"/>
    </w:rPr>
  </w:style>
  <w:style w:type="paragraph" w:styleId="TOCHeading">
    <w:name w:val="TOC Heading"/>
    <w:basedOn w:val="Heading1"/>
    <w:next w:val="Normal"/>
    <w:uiPriority w:val="39"/>
    <w:unhideWhenUsed/>
    <w:qFormat/>
    <w:rsid w:val="001A5C58"/>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character" w:customStyle="1" w:styleId="Heading1Char">
    <w:name w:val="Heading 1 Char"/>
    <w:basedOn w:val="DefaultParagraphFont"/>
    <w:link w:val="Heading1"/>
    <w:uiPriority w:val="1"/>
    <w:rsid w:val="003F1F88"/>
    <w:rPr>
      <w:rFonts w:ascii="Calibri Light" w:eastAsia="Calibri Light" w:hAnsi="Calibri Light" w:cs="Calibri Light"/>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cor-ntd.org/resources/schistosomiasis-oversampling-study-survey-strategy-selection-meeting-report" TargetMode="External"/><Relationship Id="rId18" Type="http://schemas.openxmlformats.org/officeDocument/2006/relationships/image" Target="media/image3.png"/><Relationship Id="rId26" Type="http://schemas.openxmlformats.org/officeDocument/2006/relationships/image" Target="media/image8.jpeg"/><Relationship Id="rId39" Type="http://schemas.openxmlformats.org/officeDocument/2006/relationships/image" Target="media/image180.png"/><Relationship Id="rId21" Type="http://schemas.openxmlformats.org/officeDocument/2006/relationships/hyperlink" Target="https://espen.afro.who.int/tools-resources/advanced-analytical-tools/schistosomiasis-practical-precision-assessment-tool-sppa" TargetMode="External"/><Relationship Id="rId34" Type="http://schemas.openxmlformats.org/officeDocument/2006/relationships/image" Target="media/image16.png"/><Relationship Id="rId42" Type="http://schemas.openxmlformats.org/officeDocument/2006/relationships/image" Target="media/image19.jpeg"/><Relationship Id="rId47" Type="http://schemas.openxmlformats.org/officeDocument/2006/relationships/image" Target="media/image24.jpeg"/><Relationship Id="rId50" Type="http://schemas.openxmlformats.org/officeDocument/2006/relationships/hyperlink" Target="https://www.who.int/news-room/fact-sheets/detail/soil-transmitted-helminth-infections"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spen.afro.who.int/tools-resources/espen-collect/registration-summary" TargetMode="External"/><Relationship Id="rId29" Type="http://schemas.openxmlformats.org/officeDocument/2006/relationships/image" Target="media/image11.jpeg"/><Relationship Id="rId11" Type="http://schemas.openxmlformats.org/officeDocument/2006/relationships/image" Target="media/image2.png"/><Relationship Id="rId24" Type="http://schemas.openxmlformats.org/officeDocument/2006/relationships/image" Target="media/image6.jpeg"/><Relationship Id="rId32" Type="http://schemas.openxmlformats.org/officeDocument/2006/relationships/image" Target="media/image14.jpeg"/><Relationship Id="rId40" Type="http://schemas.openxmlformats.org/officeDocument/2006/relationships/image" Target="media/image190.jpeg"/><Relationship Id="rId45" Type="http://schemas.openxmlformats.org/officeDocument/2006/relationships/image" Target="media/image22.jpeg"/><Relationship Id="rId53" Type="http://schemas.openxmlformats.org/officeDocument/2006/relationships/hyperlink" Target="https://www.who.int/publications/i/item/9789240068131" TargetMode="Externa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s://espen.afro.who.int/tools-resources/advanced-analytical-tools/schistosomiasis-practical-precision-assessment-tool-sppa" TargetMode="External"/><Relationship Id="rId31" Type="http://schemas.openxmlformats.org/officeDocument/2006/relationships/image" Target="media/image13.jpeg"/><Relationship Id="rId44" Type="http://schemas.openxmlformats.org/officeDocument/2006/relationships/image" Target="media/image21.jpeg"/><Relationship Id="rId52" Type="http://schemas.openxmlformats.org/officeDocument/2006/relationships/hyperlink" Target="https://www.who.int/publications/i/item/9789240068117" TargetMode="External"/><Relationship Id="rId4" Type="http://schemas.openxmlformats.org/officeDocument/2006/relationships/settings" Target="settings.xml"/><Relationship Id="rId9" Type="http://schemas.openxmlformats.org/officeDocument/2006/relationships/hyperlink" Target="https://espen.afro.who.int/tools-resources/advanced-analytical-tools/schistosomiasis-practical-precision-assessment-tool-sppa" TargetMode="External"/><Relationship Id="rId14" Type="http://schemas.openxmlformats.org/officeDocument/2006/relationships/hyperlink" Target="https://www.cor-ntd.org/resources/schistosomiasis-oversampling-study-survey-strategy-selection-meeting-report" TargetMode="External"/><Relationship Id="rId22" Type="http://schemas.openxmlformats.org/officeDocument/2006/relationships/hyperlink" Target="http://www.who.int/neglected_diseases/mediacentre/WHA_65.21_Eng.pdf" TargetMode="External"/><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image" Target="media/image17.jpeg"/><Relationship Id="rId43" Type="http://schemas.openxmlformats.org/officeDocument/2006/relationships/image" Target="media/image20.jpeg"/><Relationship Id="rId48" Type="http://schemas.openxmlformats.org/officeDocument/2006/relationships/image" Target="media/image25.jpeg"/><Relationship Id="rId56"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www.who.int/multi-media/details/a-one-health-approach-to-tackling-the-pork-tapeworm" TargetMode="External"/><Relationship Id="rId3" Type="http://schemas.openxmlformats.org/officeDocument/2006/relationships/styles" Target="styles.xml"/><Relationship Id="rId12" Type="http://schemas.openxmlformats.org/officeDocument/2006/relationships/hyperlink" Target="https://espen.afro.who.int/tools-resources/advanced-analytical-tools/schistosomiasis-practical-precision-assessment-tool-sppa" TargetMode="External"/><Relationship Id="rId17" Type="http://schemas.openxmlformats.org/officeDocument/2006/relationships/hyperlink" Target="https://espen.afro.who.int/tools-resources/advanced-analytical-tools/schistosomiasis-practical-precision-assessment-tool-sppa" TargetMode="External"/><Relationship Id="rId25" Type="http://schemas.openxmlformats.org/officeDocument/2006/relationships/image" Target="media/image7.jpeg"/><Relationship Id="rId33" Type="http://schemas.openxmlformats.org/officeDocument/2006/relationships/image" Target="media/image15.jpeg"/><Relationship Id="rId46" Type="http://schemas.openxmlformats.org/officeDocument/2006/relationships/image" Target="media/image23.jpeg"/><Relationship Id="rId20" Type="http://schemas.openxmlformats.org/officeDocument/2006/relationships/image" Target="media/image4.png"/><Relationship Id="rId41" Type="http://schemas.openxmlformats.org/officeDocument/2006/relationships/image" Target="media/image18.jpeg"/><Relationship Id="rId54" Type="http://schemas.openxmlformats.org/officeDocument/2006/relationships/hyperlink" Target="https://www.who.int/publications/i/item/978924006072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spen.afro.who.int/espen-collect-survey-registration" TargetMode="External"/><Relationship Id="rId23" Type="http://schemas.openxmlformats.org/officeDocument/2006/relationships/image" Target="media/image5.png"/><Relationship Id="rId28" Type="http://schemas.openxmlformats.org/officeDocument/2006/relationships/image" Target="media/image10.jpeg"/><Relationship Id="rId49" Type="http://schemas.openxmlformats.org/officeDocument/2006/relationships/image" Target="media/image27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33F82-AC17-4BD6-B84D-6E7C0692E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66</Pages>
  <Words>20957</Words>
  <Characters>119461</Characters>
  <Application>Microsoft Office Word</Application>
  <DocSecurity>0</DocSecurity>
  <Lines>995</Lines>
  <Paragraphs>280</Paragraphs>
  <ScaleCrop>false</ScaleCrop>
  <Company/>
  <LinksUpToDate>false</LinksUpToDate>
  <CharactersWithSpaces>140138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Pullan;f.fleming@unlimithealth.org</dc:creator>
  <cp:lastModifiedBy>Katie Gass</cp:lastModifiedBy>
  <cp:revision>384</cp:revision>
  <dcterms:created xsi:type="dcterms:W3CDTF">2024-02-26T19:31:00Z</dcterms:created>
  <dcterms:modified xsi:type="dcterms:W3CDTF">2024-10-28T16:44:00Z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2023-11-28T00:00:00Z</vt:filetime>
  </property>
  <property fmtid="{D5CDD505-2E9C-101B-9397-08002B2CF9AE}" pid="3" name="Creator">
    <vt:lpwstr>Microsoft® Word for Microsoft 365</vt:lpwstr>
  </property>
  <property fmtid="{D5CDD505-2E9C-101B-9397-08002B2CF9AE}" pid="4" name="GrammarlyDocumentId">
    <vt:lpwstr>5d003b2326e7bd617d46fe9f08b8edf59a9f36d6c2c169589b1dfd6c8a625dd1</vt:lpwstr>
  </property>
  <property fmtid="{D5CDD505-2E9C-101B-9397-08002B2CF9AE}" pid="5" name="LastSaved">
    <vt:filetime>2024-02-26T00:00:00Z</vt:filetime>
  </property>
  <property fmtid="{D5CDD505-2E9C-101B-9397-08002B2CF9AE}" pid="6" name="Producer">
    <vt:lpwstr>Microsoft® Word for Microsoft 365</vt:lpwstr>
  </property>
</Properties>
</file>