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83B8D" w14:textId="1CCDA649" w:rsidR="001F15FD" w:rsidRDefault="001F15FD" w:rsidP="001F15FD">
      <w:pPr>
        <w:rPr>
          <w:rFonts w:ascii="Candara" w:hAnsi="Candara"/>
          <w:b/>
          <w:bCs/>
          <w:sz w:val="28"/>
          <w:szCs w:val="28"/>
        </w:rPr>
      </w:pPr>
      <w:r w:rsidRPr="001F15FD">
        <w:rPr>
          <w:rFonts w:ascii="Candara" w:hAnsi="Candara"/>
          <w:b/>
          <w:bCs/>
          <w:sz w:val="28"/>
          <w:szCs w:val="28"/>
        </w:rPr>
        <w:t xml:space="preserve">TEMPLATE </w:t>
      </w:r>
      <w:r w:rsidR="00174584">
        <w:rPr>
          <w:rFonts w:ascii="Candara" w:hAnsi="Candara"/>
          <w:b/>
          <w:bCs/>
          <w:sz w:val="28"/>
          <w:szCs w:val="28"/>
        </w:rPr>
        <w:t xml:space="preserve"> </w:t>
      </w:r>
      <w:r w:rsidR="001E2343">
        <w:rPr>
          <w:rFonts w:ascii="Candara" w:hAnsi="Candara"/>
          <w:b/>
          <w:bCs/>
          <w:sz w:val="28"/>
          <w:szCs w:val="28"/>
        </w:rPr>
        <w:t>[</w:t>
      </w:r>
      <w:r w:rsidR="00174584">
        <w:rPr>
          <w:rFonts w:ascii="Candara" w:hAnsi="Candara"/>
          <w:b/>
          <w:bCs/>
          <w:sz w:val="28"/>
          <w:szCs w:val="28"/>
        </w:rPr>
        <w:t>Version 1.0</w:t>
      </w:r>
      <w:r w:rsidR="00066EE4">
        <w:rPr>
          <w:rFonts w:ascii="Candara" w:hAnsi="Candara"/>
          <w:b/>
          <w:bCs/>
          <w:sz w:val="28"/>
          <w:szCs w:val="28"/>
        </w:rPr>
        <w:t xml:space="preserve"> March 2026</w:t>
      </w:r>
      <w:r w:rsidR="001E2343">
        <w:rPr>
          <w:rFonts w:ascii="Candara" w:hAnsi="Candara"/>
          <w:b/>
          <w:bCs/>
          <w:sz w:val="28"/>
          <w:szCs w:val="28"/>
        </w:rPr>
        <w:t>]</w:t>
      </w:r>
    </w:p>
    <w:p w14:paraId="777C826E" w14:textId="58A9BC7C" w:rsidR="00491E49" w:rsidRPr="00491E49" w:rsidRDefault="00491E49" w:rsidP="00491E49">
      <w:pPr>
        <w:rPr>
          <w:rFonts w:ascii="Candara" w:hAnsi="Candara"/>
          <w:b/>
          <w:bCs/>
          <w:sz w:val="28"/>
          <w:szCs w:val="28"/>
        </w:rPr>
      </w:pPr>
      <w:r w:rsidRPr="00491E49">
        <w:rPr>
          <w:rFonts w:ascii="Candara" w:hAnsi="Candara"/>
          <w:b/>
          <w:bCs/>
          <w:sz w:val="28"/>
          <w:szCs w:val="28"/>
        </w:rPr>
        <w:t>Narrative for the Validation Dossier</w:t>
      </w:r>
    </w:p>
    <w:p w14:paraId="7EA4B70F" w14:textId="77777777" w:rsidR="00491E49" w:rsidRPr="00491E49" w:rsidRDefault="00491E49" w:rsidP="00491E49">
      <w:pPr>
        <w:rPr>
          <w:rFonts w:ascii="Candara" w:hAnsi="Candara"/>
          <w:b/>
          <w:bCs/>
          <w:sz w:val="28"/>
          <w:szCs w:val="28"/>
        </w:rPr>
      </w:pPr>
      <w:r w:rsidRPr="00491E49">
        <w:rPr>
          <w:rFonts w:ascii="Candara" w:hAnsi="Candara"/>
          <w:b/>
          <w:bCs/>
          <w:sz w:val="28"/>
          <w:szCs w:val="28"/>
        </w:rPr>
        <w:t>Elimination of Soil-Transmitted Helminthiases (STH) as a Public Health Problem</w:t>
      </w:r>
    </w:p>
    <w:p w14:paraId="100FB975" w14:textId="778A7A6D" w:rsidR="00491E49" w:rsidRPr="00491E49" w:rsidRDefault="00491E49" w:rsidP="00491E49">
      <w:pPr>
        <w:rPr>
          <w:rFonts w:ascii="Candara" w:hAnsi="Candara"/>
          <w:b/>
          <w:bCs/>
          <w:sz w:val="28"/>
          <w:szCs w:val="28"/>
        </w:rPr>
      </w:pPr>
      <w:r w:rsidRPr="00491E49">
        <w:rPr>
          <w:rFonts w:ascii="Candara" w:hAnsi="Candara"/>
          <w:b/>
          <w:bCs/>
          <w:sz w:val="28"/>
          <w:szCs w:val="28"/>
        </w:rPr>
        <w:t>Country:</w:t>
      </w:r>
      <w:r w:rsidRPr="00491E49">
        <w:rPr>
          <w:rFonts w:ascii="Candara" w:hAnsi="Candara"/>
          <w:b/>
          <w:bCs/>
          <w:sz w:val="28"/>
          <w:szCs w:val="28"/>
        </w:rPr>
        <w:br/>
        <w:t>Date of submission:</w:t>
      </w:r>
      <w:r w:rsidRPr="00491E49">
        <w:rPr>
          <w:rFonts w:ascii="Candara" w:hAnsi="Candara"/>
          <w:b/>
          <w:bCs/>
          <w:sz w:val="28"/>
          <w:szCs w:val="28"/>
        </w:rPr>
        <w:br/>
      </w:r>
      <w:r w:rsidR="007242A9">
        <w:rPr>
          <w:rFonts w:ascii="Candara" w:hAnsi="Candara"/>
          <w:b/>
          <w:bCs/>
          <w:sz w:val="28"/>
          <w:szCs w:val="28"/>
        </w:rPr>
        <w:t>----------------------------------------------------------------------------------------------</w:t>
      </w:r>
    </w:p>
    <w:p w14:paraId="3030A69E" w14:textId="77777777" w:rsidR="00491E49" w:rsidRPr="00491E49" w:rsidRDefault="00491E49" w:rsidP="00491E49">
      <w:pPr>
        <w:rPr>
          <w:rFonts w:ascii="Candara" w:hAnsi="Candara"/>
          <w:b/>
          <w:bCs/>
          <w:sz w:val="28"/>
          <w:szCs w:val="28"/>
        </w:rPr>
      </w:pPr>
      <w:r w:rsidRPr="00491E49">
        <w:rPr>
          <w:rFonts w:ascii="Candara" w:hAnsi="Candara"/>
          <w:b/>
          <w:bCs/>
          <w:sz w:val="28"/>
          <w:szCs w:val="28"/>
        </w:rPr>
        <w:t>1. Background</w:t>
      </w:r>
    </w:p>
    <w:p w14:paraId="5574BF82" w14:textId="77777777" w:rsidR="00491E49" w:rsidRPr="00491E49" w:rsidRDefault="00491E49" w:rsidP="00491E49">
      <w:pPr>
        <w:rPr>
          <w:rFonts w:ascii="Candara" w:hAnsi="Candara"/>
          <w:b/>
          <w:bCs/>
        </w:rPr>
      </w:pPr>
      <w:r w:rsidRPr="00491E49">
        <w:rPr>
          <w:rFonts w:ascii="Candara" w:hAnsi="Candara"/>
          <w:b/>
          <w:bCs/>
        </w:rPr>
        <w:t>1.1 Demographic and development context</w:t>
      </w:r>
    </w:p>
    <w:p w14:paraId="7AE3BC55" w14:textId="77777777" w:rsidR="00491E49" w:rsidRPr="00491E49" w:rsidRDefault="00491E49" w:rsidP="00491E49">
      <w:pPr>
        <w:rPr>
          <w:rFonts w:ascii="Candara" w:hAnsi="Candara"/>
        </w:rPr>
      </w:pPr>
      <w:r w:rsidRPr="00491E49">
        <w:rPr>
          <w:rFonts w:ascii="Candara" w:hAnsi="Candara"/>
        </w:rPr>
        <w:t xml:space="preserve">[Country] </w:t>
      </w:r>
      <w:proofErr w:type="gramStart"/>
      <w:r w:rsidRPr="00491E49">
        <w:rPr>
          <w:rFonts w:ascii="Candara" w:hAnsi="Candara"/>
        </w:rPr>
        <w:t>is located in</w:t>
      </w:r>
      <w:proofErr w:type="gramEnd"/>
      <w:r w:rsidRPr="00491E49">
        <w:rPr>
          <w:rFonts w:ascii="Candara" w:hAnsi="Candara"/>
        </w:rPr>
        <w:t xml:space="preserve"> [region/sub-region] and has an estimated population of [X million], according to the most recent national census conducted in [year]. The population is distributed across [number] administrative regions and [number] districts or equivalent implementation units (IUs), which form the operational level for health service delivery and disease control programmes.</w:t>
      </w:r>
    </w:p>
    <w:p w14:paraId="0DBD0E7B" w14:textId="77777777" w:rsidR="00491E49" w:rsidRPr="00491E49" w:rsidRDefault="00491E49" w:rsidP="00491E49">
      <w:pPr>
        <w:rPr>
          <w:rFonts w:ascii="Candara" w:hAnsi="Candara"/>
        </w:rPr>
      </w:pPr>
      <w:r w:rsidRPr="00491E49">
        <w:rPr>
          <w:rFonts w:ascii="Candara" w:hAnsi="Candara"/>
        </w:rPr>
        <w:t>The country has experienced steady improvements in key socioeconomic indicators over the past decade, including increased school enrolment, improved infrastructure, and expanded access to water and sanitation services. However, disparities persist between urban and rural areas, particularly in access to improved sanitation facilities and safe drinking water. These environmental and socioeconomic conditions historically created favourable conditions for transmission of soil-transmitted helminth infections.</w:t>
      </w:r>
    </w:p>
    <w:p w14:paraId="28E13311" w14:textId="77777777" w:rsidR="00491E49" w:rsidRPr="00491E49" w:rsidRDefault="00491E49" w:rsidP="00491E49">
      <w:pPr>
        <w:rPr>
          <w:rFonts w:ascii="Candara" w:hAnsi="Candara"/>
        </w:rPr>
      </w:pPr>
      <w:r w:rsidRPr="00491E49">
        <w:rPr>
          <w:rFonts w:ascii="Candara" w:hAnsi="Candara"/>
        </w:rPr>
        <w:t>According to national and international monitoring sources, access to basic drinking water services increased from [X%] in [year] to [X%] in [year], while access to improved sanitation increased from [X%] to [X%] during the same period. The proportion of households practising open defecation has decreased significantly, reflecting the country’s efforts to strengthen sanitation infrastructure and hygiene promotion programmes.</w:t>
      </w:r>
    </w:p>
    <w:p w14:paraId="6270D75C" w14:textId="77777777" w:rsidR="00491E49" w:rsidRPr="00491E49" w:rsidRDefault="00491E49" w:rsidP="00491E49">
      <w:pPr>
        <w:rPr>
          <w:rFonts w:ascii="Candara" w:hAnsi="Candara"/>
        </w:rPr>
      </w:pPr>
      <w:r w:rsidRPr="00491E49">
        <w:rPr>
          <w:rFonts w:ascii="Candara" w:hAnsi="Candara"/>
        </w:rPr>
        <w:t>These improvements, together with the implementation of preventive chemotherapy and health education interventions, have contributed to the reduction of soil-transmitted helminth infections and the progress toward elimination as a public health problem.</w:t>
      </w:r>
    </w:p>
    <w:p w14:paraId="6BF90E9C" w14:textId="77777777" w:rsidR="00491E49" w:rsidRPr="00491E49" w:rsidRDefault="00491E49" w:rsidP="00491E49">
      <w:pPr>
        <w:rPr>
          <w:rFonts w:ascii="Candara" w:hAnsi="Candara"/>
          <w:b/>
          <w:bCs/>
        </w:rPr>
      </w:pPr>
      <w:r w:rsidRPr="00491E49">
        <w:rPr>
          <w:rFonts w:ascii="Candara" w:hAnsi="Candara"/>
          <w:b/>
          <w:bCs/>
        </w:rPr>
        <w:lastRenderedPageBreak/>
        <w:t>1.2 Health system</w:t>
      </w:r>
    </w:p>
    <w:p w14:paraId="4CB27214" w14:textId="77777777" w:rsidR="00491E49" w:rsidRPr="00491E49" w:rsidRDefault="00491E49" w:rsidP="00491E49">
      <w:pPr>
        <w:rPr>
          <w:rFonts w:ascii="Candara" w:hAnsi="Candara"/>
        </w:rPr>
      </w:pPr>
      <w:r w:rsidRPr="00491E49">
        <w:rPr>
          <w:rFonts w:ascii="Candara" w:hAnsi="Candara"/>
        </w:rPr>
        <w:t>The health system in [Country] is organized into three main administrative levels: national, regional/provincial, and district levels. Primary health care services are delivered through an extensive network of health facilities, community health workers, and school health programmes.</w:t>
      </w:r>
    </w:p>
    <w:p w14:paraId="74CF4965" w14:textId="77777777" w:rsidR="00491E49" w:rsidRPr="00491E49" w:rsidRDefault="00491E49" w:rsidP="00491E49">
      <w:pPr>
        <w:rPr>
          <w:rFonts w:ascii="Candara" w:hAnsi="Candara"/>
        </w:rPr>
      </w:pPr>
      <w:r w:rsidRPr="00491E49">
        <w:rPr>
          <w:rFonts w:ascii="Candara" w:hAnsi="Candara"/>
        </w:rPr>
        <w:t>The Ministry of Health oversees national disease control programmes, including the Neglected Tropical Diseases (NTD) programme responsible for the control and elimination of soil-transmitted helminthiases. The programme collaborates closely with the Ministry of Education to implement school-based deworming programmes targeting school-age children, as well as with maternal and child health programmes to provide deworming for preschool-age children and women of reproductive age.</w:t>
      </w:r>
    </w:p>
    <w:p w14:paraId="4F3FA99E" w14:textId="77777777" w:rsidR="00491E49" w:rsidRPr="00491E49" w:rsidRDefault="00491E49" w:rsidP="00491E49">
      <w:pPr>
        <w:rPr>
          <w:rFonts w:ascii="Candara" w:hAnsi="Candara"/>
        </w:rPr>
      </w:pPr>
      <w:r w:rsidRPr="00491E49">
        <w:rPr>
          <w:rFonts w:ascii="Candara" w:hAnsi="Candara"/>
        </w:rPr>
        <w:t>The national health information system integrates data collection and reporting across all levels of the health system. Coverage and epidemiological monitoring data related to STH control are collected at community and school levels and transmitted through district and national databases to inform programme planning and evaluation.</w:t>
      </w:r>
    </w:p>
    <w:p w14:paraId="32F7B3E7" w14:textId="77777777" w:rsidR="00491E49" w:rsidRPr="00491E49" w:rsidRDefault="00491E49" w:rsidP="00491E49">
      <w:pPr>
        <w:rPr>
          <w:rFonts w:ascii="Candara" w:hAnsi="Candara"/>
          <w:b/>
          <w:bCs/>
        </w:rPr>
      </w:pPr>
      <w:r w:rsidRPr="00491E49">
        <w:rPr>
          <w:rFonts w:ascii="Candara" w:hAnsi="Candara"/>
          <w:b/>
          <w:bCs/>
        </w:rPr>
        <w:t>1.3 STH programme overview</w:t>
      </w:r>
    </w:p>
    <w:p w14:paraId="63BD7384" w14:textId="77777777" w:rsidR="00491E49" w:rsidRPr="00491E49" w:rsidRDefault="00491E49" w:rsidP="00491E49">
      <w:pPr>
        <w:rPr>
          <w:rFonts w:ascii="Candara" w:hAnsi="Candara"/>
          <w:b/>
          <w:bCs/>
        </w:rPr>
      </w:pPr>
      <w:r w:rsidRPr="00491E49">
        <w:rPr>
          <w:rFonts w:ascii="Candara" w:hAnsi="Candara"/>
          <w:b/>
          <w:bCs/>
        </w:rPr>
        <w:t>Historical epidemiology</w:t>
      </w:r>
    </w:p>
    <w:p w14:paraId="76057D8B" w14:textId="77777777" w:rsidR="00491E49" w:rsidRPr="00491E49" w:rsidRDefault="00491E49" w:rsidP="00491E49">
      <w:pPr>
        <w:rPr>
          <w:rFonts w:ascii="Candara" w:hAnsi="Candara"/>
        </w:rPr>
      </w:pPr>
      <w:r w:rsidRPr="00491E49">
        <w:rPr>
          <w:rFonts w:ascii="Candara" w:hAnsi="Candara"/>
        </w:rPr>
        <w:t xml:space="preserve">Soil-transmitted helminthiases have historically been endemic in many parts of [Country], with infections caused primarily by </w:t>
      </w:r>
      <w:r w:rsidRPr="00491E49">
        <w:rPr>
          <w:rFonts w:ascii="Candara" w:hAnsi="Candara"/>
          <w:i/>
          <w:iCs/>
        </w:rPr>
        <w:t>Ascaris lumbricoides</w:t>
      </w:r>
      <w:r w:rsidRPr="00491E49">
        <w:rPr>
          <w:rFonts w:ascii="Candara" w:hAnsi="Candara"/>
        </w:rPr>
        <w:t xml:space="preserve">, </w:t>
      </w:r>
      <w:r w:rsidRPr="00491E49">
        <w:rPr>
          <w:rFonts w:ascii="Candara" w:hAnsi="Candara"/>
          <w:i/>
          <w:iCs/>
        </w:rPr>
        <w:t>Trichuris trichiura</w:t>
      </w:r>
      <w:r w:rsidRPr="00491E49">
        <w:rPr>
          <w:rFonts w:ascii="Candara" w:hAnsi="Candara"/>
        </w:rPr>
        <w:t>, and hookworm species (</w:t>
      </w:r>
      <w:r w:rsidRPr="00491E49">
        <w:rPr>
          <w:rFonts w:ascii="Candara" w:hAnsi="Candara"/>
          <w:i/>
          <w:iCs/>
        </w:rPr>
        <w:t>Necator americanus</w:t>
      </w:r>
      <w:r w:rsidRPr="00491E49">
        <w:rPr>
          <w:rFonts w:ascii="Candara" w:hAnsi="Candara"/>
        </w:rPr>
        <w:t xml:space="preserve"> and </w:t>
      </w:r>
      <w:r w:rsidRPr="00491E49">
        <w:rPr>
          <w:rFonts w:ascii="Candara" w:hAnsi="Candara"/>
          <w:i/>
          <w:iCs/>
        </w:rPr>
        <w:t>Ancylostoma duodenale</w:t>
      </w:r>
      <w:r w:rsidRPr="00491E49">
        <w:rPr>
          <w:rFonts w:ascii="Candara" w:hAnsi="Candara"/>
        </w:rPr>
        <w:t>). Prior to the establishment of large-scale control programmes, surveys conducted between [year] and [year] reported prevalence levels exceeding [X%] in several regions of the country, particularly in rural communities with limited sanitation infrastructure.</w:t>
      </w:r>
    </w:p>
    <w:p w14:paraId="4BAE4198" w14:textId="77777777" w:rsidR="00491E49" w:rsidRPr="00491E49" w:rsidRDefault="00491E49" w:rsidP="00491E49">
      <w:pPr>
        <w:rPr>
          <w:rFonts w:ascii="Candara" w:hAnsi="Candara"/>
        </w:rPr>
      </w:pPr>
      <w:r w:rsidRPr="00491E49">
        <w:rPr>
          <w:rFonts w:ascii="Candara" w:hAnsi="Candara"/>
        </w:rPr>
        <w:t>These infections were associated with significant morbidity among children, including anaemia, growth retardation, and impaired cognitive development. The burden of disease was highest among preschool-aged children and school-aged children, as well as among women of reproductive age.</w:t>
      </w:r>
    </w:p>
    <w:p w14:paraId="7717470C" w14:textId="77777777" w:rsidR="00491E49" w:rsidRPr="00491E49" w:rsidRDefault="00491E49" w:rsidP="00491E49">
      <w:pPr>
        <w:rPr>
          <w:rFonts w:ascii="Candara" w:hAnsi="Candara"/>
          <w:b/>
          <w:bCs/>
        </w:rPr>
      </w:pPr>
      <w:r w:rsidRPr="00491E49">
        <w:rPr>
          <w:rFonts w:ascii="Candara" w:hAnsi="Candara"/>
          <w:b/>
          <w:bCs/>
        </w:rPr>
        <w:t>Establishment of the national STH programme</w:t>
      </w:r>
    </w:p>
    <w:p w14:paraId="530D879A" w14:textId="77777777" w:rsidR="00491E49" w:rsidRPr="00491E49" w:rsidRDefault="00491E49" w:rsidP="00491E49">
      <w:pPr>
        <w:rPr>
          <w:rFonts w:ascii="Candara" w:hAnsi="Candara"/>
        </w:rPr>
      </w:pPr>
      <w:r w:rsidRPr="00491E49">
        <w:rPr>
          <w:rFonts w:ascii="Candara" w:hAnsi="Candara"/>
        </w:rPr>
        <w:lastRenderedPageBreak/>
        <w:t>In response to the high burden of disease, the Ministry of Health established a national programme for the control of soil-transmitted helminthiases in [year]. The programme was integrated within the national NTD control framework and aligned with global WHO recommendations on preventive chemotherapy and integrated NTD control.</w:t>
      </w:r>
    </w:p>
    <w:p w14:paraId="4917FCAE" w14:textId="77777777" w:rsidR="00491E49" w:rsidRPr="00491E49" w:rsidRDefault="00491E49" w:rsidP="00491E49">
      <w:pPr>
        <w:rPr>
          <w:rFonts w:ascii="Candara" w:hAnsi="Candara"/>
        </w:rPr>
      </w:pPr>
      <w:r w:rsidRPr="00491E49">
        <w:rPr>
          <w:rFonts w:ascii="Candara" w:hAnsi="Candara"/>
        </w:rPr>
        <w:t>The programme’s primary objective has been the elimination of soil-transmitted helminthiases as a public health problem through regular preventive chemotherapy targeting populations at highest risk of morbidity, complemented by improvements in water, sanitation and hygiene (WASH) and health education interventions.</w:t>
      </w:r>
    </w:p>
    <w:p w14:paraId="384581F8" w14:textId="77777777" w:rsidR="00491E49" w:rsidRPr="00491E49" w:rsidRDefault="00491E49" w:rsidP="00491E49">
      <w:pPr>
        <w:rPr>
          <w:rFonts w:ascii="Candara" w:hAnsi="Candara"/>
          <w:b/>
          <w:bCs/>
        </w:rPr>
      </w:pPr>
      <w:r w:rsidRPr="00491E49">
        <w:rPr>
          <w:rFonts w:ascii="Candara" w:hAnsi="Candara"/>
          <w:b/>
          <w:bCs/>
        </w:rPr>
        <w:t>Programme structure and coordination</w:t>
      </w:r>
    </w:p>
    <w:p w14:paraId="5D97CA01" w14:textId="77777777" w:rsidR="00491E49" w:rsidRPr="00491E49" w:rsidRDefault="00491E49" w:rsidP="00E82E61">
      <w:pPr>
        <w:spacing w:after="0"/>
        <w:rPr>
          <w:rFonts w:ascii="Candara" w:hAnsi="Candara"/>
        </w:rPr>
      </w:pPr>
      <w:r w:rsidRPr="00491E49">
        <w:rPr>
          <w:rFonts w:ascii="Candara" w:hAnsi="Candara"/>
        </w:rPr>
        <w:t>The national STH programme operates within the broader national NTD programme and is coordinated by the Ministry of Health in collaboration with partners including international organizations, non-governmental organizations, and academic institutions.</w:t>
      </w:r>
    </w:p>
    <w:p w14:paraId="232D6A12" w14:textId="77777777" w:rsidR="00491E49" w:rsidRPr="00491E49" w:rsidRDefault="00491E49" w:rsidP="00E82E61">
      <w:pPr>
        <w:spacing w:after="0"/>
        <w:rPr>
          <w:rFonts w:ascii="Candara" w:hAnsi="Candara"/>
        </w:rPr>
      </w:pPr>
      <w:r w:rsidRPr="00491E49">
        <w:rPr>
          <w:rFonts w:ascii="Candara" w:hAnsi="Candara"/>
        </w:rPr>
        <w:t>Programme implementation involves collaboration between several sectors, including:</w:t>
      </w:r>
    </w:p>
    <w:p w14:paraId="204B08FC" w14:textId="77777777" w:rsidR="00491E49" w:rsidRPr="00491E49" w:rsidRDefault="00491E49" w:rsidP="00E82E61">
      <w:pPr>
        <w:numPr>
          <w:ilvl w:val="0"/>
          <w:numId w:val="18"/>
        </w:numPr>
        <w:spacing w:after="0"/>
        <w:rPr>
          <w:rFonts w:ascii="Candara" w:hAnsi="Candara"/>
        </w:rPr>
      </w:pPr>
      <w:r w:rsidRPr="00491E49">
        <w:rPr>
          <w:rFonts w:ascii="Candara" w:hAnsi="Candara"/>
        </w:rPr>
        <w:t>Ministry of Health (programme coordination and epidemiological monitoring)</w:t>
      </w:r>
    </w:p>
    <w:p w14:paraId="79A47A38" w14:textId="77777777" w:rsidR="00491E49" w:rsidRPr="00491E49" w:rsidRDefault="00491E49" w:rsidP="00E82E61">
      <w:pPr>
        <w:numPr>
          <w:ilvl w:val="0"/>
          <w:numId w:val="18"/>
        </w:numPr>
        <w:spacing w:after="0"/>
        <w:rPr>
          <w:rFonts w:ascii="Candara" w:hAnsi="Candara"/>
        </w:rPr>
      </w:pPr>
      <w:r w:rsidRPr="00491E49">
        <w:rPr>
          <w:rFonts w:ascii="Candara" w:hAnsi="Candara"/>
        </w:rPr>
        <w:t>Ministry of Education (school-based deworming programmes)</w:t>
      </w:r>
    </w:p>
    <w:p w14:paraId="35F1ABE8" w14:textId="77777777" w:rsidR="00491E49" w:rsidRPr="00491E49" w:rsidRDefault="00491E49" w:rsidP="00E82E61">
      <w:pPr>
        <w:numPr>
          <w:ilvl w:val="0"/>
          <w:numId w:val="18"/>
        </w:numPr>
        <w:spacing w:after="0"/>
        <w:rPr>
          <w:rFonts w:ascii="Candara" w:hAnsi="Candara"/>
        </w:rPr>
      </w:pPr>
      <w:r w:rsidRPr="00491E49">
        <w:rPr>
          <w:rFonts w:ascii="Candara" w:hAnsi="Candara"/>
        </w:rPr>
        <w:t>WASH sector agencies (water and sanitation improvements)</w:t>
      </w:r>
    </w:p>
    <w:p w14:paraId="135CBCF9" w14:textId="77777777" w:rsidR="00491E49" w:rsidRPr="00491E49" w:rsidRDefault="00491E49" w:rsidP="00E82E61">
      <w:pPr>
        <w:numPr>
          <w:ilvl w:val="0"/>
          <w:numId w:val="18"/>
        </w:numPr>
        <w:spacing w:after="0"/>
        <w:rPr>
          <w:rFonts w:ascii="Candara" w:hAnsi="Candara"/>
        </w:rPr>
      </w:pPr>
      <w:r w:rsidRPr="00491E49">
        <w:rPr>
          <w:rFonts w:ascii="Candara" w:hAnsi="Candara"/>
        </w:rPr>
        <w:t xml:space="preserve">Community health structures </w:t>
      </w:r>
      <w:proofErr w:type="gramStart"/>
      <w:r w:rsidRPr="00491E49">
        <w:rPr>
          <w:rFonts w:ascii="Candara" w:hAnsi="Candara"/>
        </w:rPr>
        <w:t>responsible</w:t>
      </w:r>
      <w:proofErr w:type="gramEnd"/>
      <w:r w:rsidRPr="00491E49">
        <w:rPr>
          <w:rFonts w:ascii="Candara" w:hAnsi="Candara"/>
        </w:rPr>
        <w:t xml:space="preserve"> for outreach and community sensitization.</w:t>
      </w:r>
    </w:p>
    <w:p w14:paraId="67CA6031" w14:textId="77777777" w:rsidR="00491E49" w:rsidRPr="00491E49" w:rsidRDefault="00491E49" w:rsidP="00E82E61">
      <w:pPr>
        <w:spacing w:after="0"/>
        <w:rPr>
          <w:rFonts w:ascii="Candara" w:hAnsi="Candara"/>
        </w:rPr>
      </w:pPr>
      <w:r w:rsidRPr="00491E49">
        <w:rPr>
          <w:rFonts w:ascii="Candara" w:hAnsi="Candara"/>
        </w:rPr>
        <w:t>Programme data are collected through routine reporting systems and national surveys and are consolidated within the national NTD database.</w:t>
      </w:r>
    </w:p>
    <w:p w14:paraId="59D9196E" w14:textId="4842386E" w:rsidR="00491E49" w:rsidRPr="00491E49" w:rsidRDefault="00491E49" w:rsidP="00491E49">
      <w:pPr>
        <w:rPr>
          <w:rFonts w:ascii="Candara" w:hAnsi="Candara"/>
        </w:rPr>
      </w:pPr>
    </w:p>
    <w:p w14:paraId="78B184CC" w14:textId="77777777" w:rsidR="00491E49" w:rsidRPr="00491E49" w:rsidRDefault="00491E49" w:rsidP="00491E49">
      <w:pPr>
        <w:rPr>
          <w:rFonts w:ascii="Candara" w:hAnsi="Candara"/>
          <w:b/>
          <w:bCs/>
          <w:sz w:val="28"/>
          <w:szCs w:val="28"/>
        </w:rPr>
      </w:pPr>
      <w:r w:rsidRPr="00491E49">
        <w:rPr>
          <w:rFonts w:ascii="Candara" w:hAnsi="Candara"/>
          <w:b/>
          <w:bCs/>
          <w:sz w:val="28"/>
          <w:szCs w:val="28"/>
        </w:rPr>
        <w:t>2. Delineation of Areas Requiring Intervention</w:t>
      </w:r>
    </w:p>
    <w:p w14:paraId="4D407F45" w14:textId="77777777" w:rsidR="00491E49" w:rsidRPr="00491E49" w:rsidRDefault="00491E49" w:rsidP="00491E49">
      <w:pPr>
        <w:rPr>
          <w:rFonts w:ascii="Candara" w:hAnsi="Candara"/>
          <w:b/>
          <w:bCs/>
        </w:rPr>
      </w:pPr>
      <w:r w:rsidRPr="00491E49">
        <w:rPr>
          <w:rFonts w:ascii="Candara" w:hAnsi="Candara"/>
          <w:b/>
          <w:bCs/>
        </w:rPr>
        <w:t>2.1 Definition of implementation units</w:t>
      </w:r>
    </w:p>
    <w:p w14:paraId="3E5F48F7" w14:textId="77777777" w:rsidR="00491E49" w:rsidRPr="00491E49" w:rsidRDefault="00491E49" w:rsidP="00491E49">
      <w:pPr>
        <w:rPr>
          <w:rFonts w:ascii="Candara" w:hAnsi="Candara"/>
        </w:rPr>
      </w:pPr>
      <w:r w:rsidRPr="00491E49">
        <w:rPr>
          <w:rFonts w:ascii="Candara" w:hAnsi="Candara"/>
        </w:rPr>
        <w:t>For the purposes of the STH control programme, the country is divided into [number] implementation units corresponding to [districts/provinces/administrative units]. These units serve as the operational level for programme planning, implementation and monitoring.</w:t>
      </w:r>
    </w:p>
    <w:p w14:paraId="687F0FD5" w14:textId="77777777" w:rsidR="00491E49" w:rsidRPr="00491E49" w:rsidRDefault="00491E49" w:rsidP="00491E49">
      <w:pPr>
        <w:rPr>
          <w:rFonts w:ascii="Candara" w:hAnsi="Candara"/>
        </w:rPr>
      </w:pPr>
      <w:r w:rsidRPr="00491E49">
        <w:rPr>
          <w:rFonts w:ascii="Candara" w:hAnsi="Candara"/>
        </w:rPr>
        <w:t xml:space="preserve">At the start of the national programme, a total of [number] implementation units </w:t>
      </w:r>
      <w:proofErr w:type="gramStart"/>
      <w:r w:rsidRPr="00491E49">
        <w:rPr>
          <w:rFonts w:ascii="Candara" w:hAnsi="Candara"/>
        </w:rPr>
        <w:t>were</w:t>
      </w:r>
      <w:proofErr w:type="gramEnd"/>
      <w:r w:rsidRPr="00491E49">
        <w:rPr>
          <w:rFonts w:ascii="Candara" w:hAnsi="Candara"/>
        </w:rPr>
        <w:t xml:space="preserve"> classified according to endemicity levels based on baseline epidemiological surveys.</w:t>
      </w:r>
    </w:p>
    <w:p w14:paraId="6D8F51FE" w14:textId="77777777" w:rsidR="00491E49" w:rsidRPr="00491E49" w:rsidRDefault="00491E49" w:rsidP="00491E49">
      <w:pPr>
        <w:rPr>
          <w:rFonts w:ascii="Candara" w:hAnsi="Candara"/>
        </w:rPr>
      </w:pPr>
      <w:r w:rsidRPr="00491E49">
        <w:rPr>
          <w:rFonts w:ascii="Candara" w:hAnsi="Candara"/>
        </w:rPr>
        <w:t xml:space="preserve">Over time, administrative boundaries have evolved due to decentralization reforms, resulting in an increase in the number of districts from [number] to [number]. Where such </w:t>
      </w:r>
      <w:r w:rsidRPr="00491E49">
        <w:rPr>
          <w:rFonts w:ascii="Candara" w:hAnsi="Candara"/>
        </w:rPr>
        <w:lastRenderedPageBreak/>
        <w:t>changes occurred, historical data were harmonized to ensure continuity in programme monitoring.</w:t>
      </w:r>
    </w:p>
    <w:p w14:paraId="502F5361" w14:textId="77777777" w:rsidR="00491E49" w:rsidRPr="00491E49" w:rsidRDefault="00491E49" w:rsidP="00491E49">
      <w:pPr>
        <w:rPr>
          <w:rFonts w:ascii="Candara" w:hAnsi="Candara"/>
          <w:b/>
          <w:bCs/>
        </w:rPr>
      </w:pPr>
      <w:r w:rsidRPr="00491E49">
        <w:rPr>
          <w:rFonts w:ascii="Candara" w:hAnsi="Candara"/>
          <w:b/>
          <w:bCs/>
        </w:rPr>
        <w:t>2.2 Baseline endemicity and classification of areas</w:t>
      </w:r>
    </w:p>
    <w:p w14:paraId="429E9A30" w14:textId="77777777" w:rsidR="00491E49" w:rsidRPr="00491E49" w:rsidRDefault="00491E49" w:rsidP="00491E49">
      <w:pPr>
        <w:rPr>
          <w:rFonts w:ascii="Candara" w:hAnsi="Candara"/>
        </w:rPr>
      </w:pPr>
      <w:r w:rsidRPr="00491E49">
        <w:rPr>
          <w:rFonts w:ascii="Candara" w:hAnsi="Candara"/>
        </w:rPr>
        <w:t>Baseline epidemiological surveys conducted between [year] and [year] assessed the prevalence and intensity of STH infections among school-aged children. These surveys used standardized diagnostic methods, including the Kato–Katz technique for the detection and quantification of helminth eggs in stool samples.</w:t>
      </w:r>
    </w:p>
    <w:p w14:paraId="598DF722" w14:textId="77777777" w:rsidR="00491E49" w:rsidRPr="00491E49" w:rsidRDefault="00491E49" w:rsidP="00491E49">
      <w:pPr>
        <w:rPr>
          <w:rFonts w:ascii="Candara" w:hAnsi="Candara"/>
        </w:rPr>
      </w:pPr>
      <w:r w:rsidRPr="00491E49">
        <w:rPr>
          <w:rFonts w:ascii="Candara" w:hAnsi="Candara"/>
        </w:rPr>
        <w:t>Based on these surveys, implementation units were classified according to WHO thresholds for preventive chemotherapy interventions. Districts with prevalence ≥20% were classified as requiring annual preventive chemotherapy, while districts with prevalence ≥50% required biannual treatment.</w:t>
      </w:r>
    </w:p>
    <w:p w14:paraId="364EA912" w14:textId="77777777" w:rsidR="00491E49" w:rsidRPr="00491E49" w:rsidRDefault="00491E49" w:rsidP="00491E49">
      <w:pPr>
        <w:rPr>
          <w:rFonts w:ascii="Candara" w:hAnsi="Candara"/>
        </w:rPr>
      </w:pPr>
      <w:r w:rsidRPr="00491E49">
        <w:rPr>
          <w:rFonts w:ascii="Candara" w:hAnsi="Candara"/>
        </w:rPr>
        <w:t>The results of these baseline surveys demonstrated that [number] implementation units required preventive chemotherapy interventions. Maps showing the geographic distribution of STH prevalence at baseline are provided in Annex [X].</w:t>
      </w:r>
    </w:p>
    <w:p w14:paraId="0AE5F55D" w14:textId="77777777" w:rsidR="00491E49" w:rsidRPr="00491E49" w:rsidRDefault="00491E49" w:rsidP="00491E49">
      <w:pPr>
        <w:rPr>
          <w:rFonts w:ascii="Candara" w:hAnsi="Candara"/>
          <w:b/>
          <w:bCs/>
          <w:sz w:val="28"/>
          <w:szCs w:val="28"/>
        </w:rPr>
      </w:pPr>
      <w:r w:rsidRPr="00491E49">
        <w:rPr>
          <w:rFonts w:ascii="Candara" w:hAnsi="Candara"/>
          <w:b/>
          <w:bCs/>
          <w:sz w:val="28"/>
          <w:szCs w:val="28"/>
        </w:rPr>
        <w:t>3. Implementation of Interventions</w:t>
      </w:r>
    </w:p>
    <w:p w14:paraId="3302AA69" w14:textId="77777777" w:rsidR="00491E49" w:rsidRPr="00491E49" w:rsidRDefault="00491E49" w:rsidP="00491E49">
      <w:pPr>
        <w:rPr>
          <w:rFonts w:ascii="Candara" w:hAnsi="Candara"/>
          <w:b/>
          <w:bCs/>
        </w:rPr>
      </w:pPr>
      <w:r w:rsidRPr="00491E49">
        <w:rPr>
          <w:rFonts w:ascii="Candara" w:hAnsi="Candara"/>
          <w:b/>
          <w:bCs/>
        </w:rPr>
        <w:t>3.1 Preventive chemotherapy</w:t>
      </w:r>
    </w:p>
    <w:p w14:paraId="08503C68" w14:textId="77777777" w:rsidR="00491E49" w:rsidRPr="00491E49" w:rsidRDefault="00491E49" w:rsidP="00491E49">
      <w:pPr>
        <w:rPr>
          <w:rFonts w:ascii="Candara" w:hAnsi="Candara"/>
          <w:b/>
          <w:bCs/>
        </w:rPr>
      </w:pPr>
      <w:r w:rsidRPr="00491E49">
        <w:rPr>
          <w:rFonts w:ascii="Candara" w:hAnsi="Candara"/>
          <w:b/>
          <w:bCs/>
        </w:rPr>
        <w:t>Implementation of deworming programmes</w:t>
      </w:r>
    </w:p>
    <w:p w14:paraId="092A03D7" w14:textId="77777777" w:rsidR="00491E49" w:rsidRPr="00491E49" w:rsidRDefault="00491E49" w:rsidP="00491E49">
      <w:pPr>
        <w:rPr>
          <w:rFonts w:ascii="Candara" w:hAnsi="Candara"/>
        </w:rPr>
      </w:pPr>
      <w:r w:rsidRPr="00491E49">
        <w:rPr>
          <w:rFonts w:ascii="Candara" w:hAnsi="Candara"/>
        </w:rPr>
        <w:t>Preventive chemotherapy has been the cornerstone of the national STH control strategy. Albendazole (400 mg) or mebendazole (500 mg) has been administered through school-based and community-based platforms targeting high-risk populations, including preschool-aged children, school-aged children and women of reproductive age.</w:t>
      </w:r>
    </w:p>
    <w:p w14:paraId="2BE204B8" w14:textId="77777777" w:rsidR="00491E49" w:rsidRPr="00491E49" w:rsidRDefault="00491E49" w:rsidP="00491E49">
      <w:pPr>
        <w:rPr>
          <w:rFonts w:ascii="Candara" w:hAnsi="Candara"/>
        </w:rPr>
      </w:pPr>
      <w:r w:rsidRPr="00491E49">
        <w:rPr>
          <w:rFonts w:ascii="Candara" w:hAnsi="Candara"/>
        </w:rPr>
        <w:t>Deworming campaigns have been implemented through a combination of:</w:t>
      </w:r>
    </w:p>
    <w:p w14:paraId="18DBCC1E" w14:textId="77777777" w:rsidR="00491E49" w:rsidRPr="00491E49" w:rsidRDefault="00491E49" w:rsidP="00E82E61">
      <w:pPr>
        <w:numPr>
          <w:ilvl w:val="0"/>
          <w:numId w:val="19"/>
        </w:numPr>
        <w:spacing w:after="0"/>
        <w:rPr>
          <w:rFonts w:ascii="Candara" w:hAnsi="Candara"/>
        </w:rPr>
      </w:pPr>
      <w:r w:rsidRPr="00491E49">
        <w:rPr>
          <w:rFonts w:ascii="Candara" w:hAnsi="Candara"/>
        </w:rPr>
        <w:t xml:space="preserve">School-based distribution conducted by trained </w:t>
      </w:r>
      <w:proofErr w:type="gramStart"/>
      <w:r w:rsidRPr="00491E49">
        <w:rPr>
          <w:rFonts w:ascii="Candara" w:hAnsi="Candara"/>
        </w:rPr>
        <w:t>teachers;</w:t>
      </w:r>
      <w:proofErr w:type="gramEnd"/>
    </w:p>
    <w:p w14:paraId="43325EBF" w14:textId="77777777" w:rsidR="00491E49" w:rsidRPr="00491E49" w:rsidRDefault="00491E49" w:rsidP="00E82E61">
      <w:pPr>
        <w:numPr>
          <w:ilvl w:val="0"/>
          <w:numId w:val="19"/>
        </w:numPr>
        <w:spacing w:after="0"/>
        <w:rPr>
          <w:rFonts w:ascii="Candara" w:hAnsi="Candara"/>
        </w:rPr>
      </w:pPr>
      <w:r w:rsidRPr="00491E49">
        <w:rPr>
          <w:rFonts w:ascii="Candara" w:hAnsi="Candara"/>
        </w:rPr>
        <w:t xml:space="preserve">Community distribution through community health </w:t>
      </w:r>
      <w:proofErr w:type="gramStart"/>
      <w:r w:rsidRPr="00491E49">
        <w:rPr>
          <w:rFonts w:ascii="Candara" w:hAnsi="Candara"/>
        </w:rPr>
        <w:t>workers;</w:t>
      </w:r>
      <w:proofErr w:type="gramEnd"/>
    </w:p>
    <w:p w14:paraId="7E699E49" w14:textId="77777777" w:rsidR="00491E49" w:rsidRPr="00491E49" w:rsidRDefault="00491E49" w:rsidP="00E82E61">
      <w:pPr>
        <w:numPr>
          <w:ilvl w:val="0"/>
          <w:numId w:val="19"/>
        </w:numPr>
        <w:spacing w:after="0"/>
        <w:rPr>
          <w:rFonts w:ascii="Candara" w:hAnsi="Candara"/>
        </w:rPr>
      </w:pPr>
      <w:r w:rsidRPr="00491E49">
        <w:rPr>
          <w:rFonts w:ascii="Candara" w:hAnsi="Candara"/>
        </w:rPr>
        <w:t>Integration with maternal and child health services, including antenatal care for women of reproductive age.</w:t>
      </w:r>
    </w:p>
    <w:p w14:paraId="34EA5766" w14:textId="77777777" w:rsidR="00491E49" w:rsidRPr="00491E49" w:rsidRDefault="00491E49" w:rsidP="00491E49">
      <w:pPr>
        <w:rPr>
          <w:rFonts w:ascii="Candara" w:hAnsi="Candara"/>
        </w:rPr>
      </w:pPr>
      <w:r w:rsidRPr="00491E49">
        <w:rPr>
          <w:rFonts w:ascii="Candara" w:hAnsi="Candara"/>
        </w:rPr>
        <w:t>Programme implementation has been supported by national training programmes for teachers, health workers and community volunteers responsible for drug distribution and reporting.</w:t>
      </w:r>
    </w:p>
    <w:p w14:paraId="1D27A7B8" w14:textId="77777777" w:rsidR="00491E49" w:rsidRPr="00491E49" w:rsidRDefault="00491E49" w:rsidP="00491E49">
      <w:pPr>
        <w:rPr>
          <w:rFonts w:ascii="Candara" w:hAnsi="Candara"/>
          <w:b/>
          <w:bCs/>
        </w:rPr>
      </w:pPr>
      <w:r w:rsidRPr="00491E49">
        <w:rPr>
          <w:rFonts w:ascii="Candara" w:hAnsi="Candara"/>
          <w:b/>
          <w:bCs/>
        </w:rPr>
        <w:lastRenderedPageBreak/>
        <w:t>Coverage and programme performance</w:t>
      </w:r>
    </w:p>
    <w:p w14:paraId="1559F226" w14:textId="77777777" w:rsidR="00491E49" w:rsidRPr="00491E49" w:rsidRDefault="00491E49" w:rsidP="00491E49">
      <w:pPr>
        <w:rPr>
          <w:rFonts w:ascii="Candara" w:hAnsi="Candara"/>
        </w:rPr>
      </w:pPr>
      <w:r w:rsidRPr="00491E49">
        <w:rPr>
          <w:rFonts w:ascii="Candara" w:hAnsi="Candara"/>
        </w:rPr>
        <w:t>Since [year], the national programme has consistently achieved effective coverage levels exceeding the WHO recommended threshold of 75% among school-aged children in all endemic implementation units.</w:t>
      </w:r>
    </w:p>
    <w:p w14:paraId="36AB470A" w14:textId="77777777" w:rsidR="00491E49" w:rsidRPr="00491E49" w:rsidRDefault="00491E49" w:rsidP="00491E49">
      <w:pPr>
        <w:rPr>
          <w:rFonts w:ascii="Candara" w:hAnsi="Candara"/>
        </w:rPr>
      </w:pPr>
      <w:r w:rsidRPr="00491E49">
        <w:rPr>
          <w:rFonts w:ascii="Candara" w:hAnsi="Candara"/>
        </w:rPr>
        <w:t>Coverage estimates are derived from administrative reports and validated through periodic coverage surveys and data quality assessments. The programme has also benefited from integrated distribution of albendazole during lymphatic filariasis elimination campaigns in co-endemic areas.</w:t>
      </w:r>
    </w:p>
    <w:p w14:paraId="6854746E" w14:textId="77777777" w:rsidR="00491E49" w:rsidRPr="00491E49" w:rsidRDefault="00491E49" w:rsidP="00491E49">
      <w:pPr>
        <w:rPr>
          <w:rFonts w:ascii="Candara" w:hAnsi="Candara"/>
          <w:b/>
          <w:bCs/>
        </w:rPr>
      </w:pPr>
      <w:r w:rsidRPr="00491E49">
        <w:rPr>
          <w:rFonts w:ascii="Candara" w:hAnsi="Candara"/>
          <w:b/>
          <w:bCs/>
        </w:rPr>
        <w:t>3.2 Expansion of deworming to women of reproductive age</w:t>
      </w:r>
    </w:p>
    <w:p w14:paraId="0B0391B5" w14:textId="77777777" w:rsidR="00491E49" w:rsidRPr="00491E49" w:rsidRDefault="00491E49" w:rsidP="00491E49">
      <w:pPr>
        <w:rPr>
          <w:rFonts w:ascii="Candara" w:hAnsi="Candara"/>
        </w:rPr>
      </w:pPr>
      <w:r w:rsidRPr="00491E49">
        <w:rPr>
          <w:rFonts w:ascii="Candara" w:hAnsi="Candara"/>
        </w:rPr>
        <w:t>In recognition of the importance of addressing STH morbidity among women of reproductive age, the national programme expanded deworming services to this population through antenatal care platforms and community health services.</w:t>
      </w:r>
    </w:p>
    <w:p w14:paraId="22F975E4" w14:textId="77777777" w:rsidR="00491E49" w:rsidRPr="00491E49" w:rsidRDefault="00491E49" w:rsidP="00491E49">
      <w:pPr>
        <w:rPr>
          <w:rFonts w:ascii="Candara" w:hAnsi="Candara"/>
        </w:rPr>
      </w:pPr>
      <w:r w:rsidRPr="00491E49">
        <w:rPr>
          <w:rFonts w:ascii="Candara" w:hAnsi="Candara"/>
        </w:rPr>
        <w:t>The Ministry of Health has adopted national guidelines recommending routine deworming of pregnant women after the first trimester, consistent with WHO recommendations. Data on coverage of deworming among women of reproductive age are reported annually through the national health information system.</w:t>
      </w:r>
    </w:p>
    <w:p w14:paraId="6075B549" w14:textId="77777777" w:rsidR="00491E49" w:rsidRPr="00491E49" w:rsidRDefault="00491E49" w:rsidP="00491E49">
      <w:pPr>
        <w:rPr>
          <w:rFonts w:ascii="Candara" w:hAnsi="Candara"/>
          <w:b/>
          <w:bCs/>
        </w:rPr>
      </w:pPr>
      <w:r w:rsidRPr="00491E49">
        <w:rPr>
          <w:rFonts w:ascii="Candara" w:hAnsi="Candara"/>
          <w:b/>
          <w:bCs/>
        </w:rPr>
        <w:t>3.3 Supplementary interventions</w:t>
      </w:r>
    </w:p>
    <w:p w14:paraId="1EB898C6" w14:textId="77777777" w:rsidR="00491E49" w:rsidRPr="00491E49" w:rsidRDefault="00491E49" w:rsidP="00491E49">
      <w:pPr>
        <w:rPr>
          <w:rFonts w:ascii="Candara" w:hAnsi="Candara"/>
        </w:rPr>
      </w:pPr>
      <w:r w:rsidRPr="00491E49">
        <w:rPr>
          <w:rFonts w:ascii="Candara" w:hAnsi="Candara"/>
        </w:rPr>
        <w:t>In addition to preventive chemotherapy, several complementary interventions have contributed to reducing STH transmission.</w:t>
      </w:r>
    </w:p>
    <w:p w14:paraId="2AC9A2F2" w14:textId="77777777" w:rsidR="00491E49" w:rsidRPr="00491E49" w:rsidRDefault="00491E49" w:rsidP="00491E49">
      <w:pPr>
        <w:rPr>
          <w:rFonts w:ascii="Candara" w:hAnsi="Candara"/>
        </w:rPr>
      </w:pPr>
      <w:r w:rsidRPr="00491E49">
        <w:rPr>
          <w:rFonts w:ascii="Candara" w:hAnsi="Candara"/>
        </w:rPr>
        <w:t>These include:</w:t>
      </w:r>
    </w:p>
    <w:p w14:paraId="147CEE8A" w14:textId="77777777" w:rsidR="00491E49" w:rsidRPr="00491E49" w:rsidRDefault="00491E49" w:rsidP="00E82E61">
      <w:pPr>
        <w:numPr>
          <w:ilvl w:val="0"/>
          <w:numId w:val="20"/>
        </w:numPr>
        <w:spacing w:after="0" w:line="240" w:lineRule="auto"/>
        <w:rPr>
          <w:rFonts w:ascii="Candara" w:hAnsi="Candara"/>
        </w:rPr>
      </w:pPr>
      <w:r w:rsidRPr="00491E49">
        <w:rPr>
          <w:rFonts w:ascii="Candara" w:hAnsi="Candara"/>
        </w:rPr>
        <w:t>Expansion of access to improved sanitation facilities</w:t>
      </w:r>
    </w:p>
    <w:p w14:paraId="17D7E8B2" w14:textId="77777777" w:rsidR="00491E49" w:rsidRPr="00491E49" w:rsidRDefault="00491E49" w:rsidP="00E82E61">
      <w:pPr>
        <w:numPr>
          <w:ilvl w:val="0"/>
          <w:numId w:val="20"/>
        </w:numPr>
        <w:spacing w:after="0" w:line="240" w:lineRule="auto"/>
        <w:rPr>
          <w:rFonts w:ascii="Candara" w:hAnsi="Candara"/>
        </w:rPr>
      </w:pPr>
      <w:r w:rsidRPr="00491E49">
        <w:rPr>
          <w:rFonts w:ascii="Candara" w:hAnsi="Candara"/>
        </w:rPr>
        <w:t>Community-led total sanitation programmes</w:t>
      </w:r>
    </w:p>
    <w:p w14:paraId="5106AFDB" w14:textId="77777777" w:rsidR="00491E49" w:rsidRPr="00491E49" w:rsidRDefault="00491E49" w:rsidP="00E82E61">
      <w:pPr>
        <w:numPr>
          <w:ilvl w:val="0"/>
          <w:numId w:val="20"/>
        </w:numPr>
        <w:spacing w:after="0" w:line="240" w:lineRule="auto"/>
        <w:rPr>
          <w:rFonts w:ascii="Candara" w:hAnsi="Candara"/>
        </w:rPr>
      </w:pPr>
      <w:r w:rsidRPr="00491E49">
        <w:rPr>
          <w:rFonts w:ascii="Candara" w:hAnsi="Candara"/>
        </w:rPr>
        <w:t>Hygiene promotion campaigns emphasizing handwashing with soap</w:t>
      </w:r>
    </w:p>
    <w:p w14:paraId="0895516F" w14:textId="77777777" w:rsidR="00491E49" w:rsidRPr="00491E49" w:rsidRDefault="00491E49" w:rsidP="00E82E61">
      <w:pPr>
        <w:numPr>
          <w:ilvl w:val="0"/>
          <w:numId w:val="20"/>
        </w:numPr>
        <w:spacing w:after="0" w:line="240" w:lineRule="auto"/>
        <w:rPr>
          <w:rFonts w:ascii="Candara" w:hAnsi="Candara"/>
        </w:rPr>
      </w:pPr>
      <w:r w:rsidRPr="00491E49">
        <w:rPr>
          <w:rFonts w:ascii="Candara" w:hAnsi="Candara"/>
        </w:rPr>
        <w:t xml:space="preserve">School-based health education programmes </w:t>
      </w:r>
      <w:proofErr w:type="gramStart"/>
      <w:r w:rsidRPr="00491E49">
        <w:rPr>
          <w:rFonts w:ascii="Candara" w:hAnsi="Candara"/>
        </w:rPr>
        <w:t>promoting</w:t>
      </w:r>
      <w:proofErr w:type="gramEnd"/>
      <w:r w:rsidRPr="00491E49">
        <w:rPr>
          <w:rFonts w:ascii="Candara" w:hAnsi="Candara"/>
        </w:rPr>
        <w:t xml:space="preserve"> sanitation and hygiene practices.</w:t>
      </w:r>
    </w:p>
    <w:p w14:paraId="6361BFE0" w14:textId="77777777" w:rsidR="00491E49" w:rsidRPr="00491E49" w:rsidRDefault="00491E49" w:rsidP="00491E49">
      <w:pPr>
        <w:rPr>
          <w:rFonts w:ascii="Candara" w:hAnsi="Candara"/>
        </w:rPr>
      </w:pPr>
      <w:r w:rsidRPr="00491E49">
        <w:rPr>
          <w:rFonts w:ascii="Candara" w:hAnsi="Candara"/>
        </w:rPr>
        <w:t>National WASH indicators have shown steady improvement over the past decade, reflecting significant investments in water and sanitation infrastructure.</w:t>
      </w:r>
    </w:p>
    <w:p w14:paraId="15A0B719" w14:textId="77777777" w:rsidR="00491E49" w:rsidRPr="00491E49" w:rsidRDefault="00491E49" w:rsidP="00491E49">
      <w:pPr>
        <w:rPr>
          <w:rFonts w:ascii="Candara" w:hAnsi="Candara"/>
          <w:b/>
          <w:bCs/>
          <w:sz w:val="28"/>
          <w:szCs w:val="28"/>
        </w:rPr>
      </w:pPr>
      <w:r w:rsidRPr="00491E49">
        <w:rPr>
          <w:rFonts w:ascii="Candara" w:hAnsi="Candara"/>
          <w:b/>
          <w:bCs/>
          <w:sz w:val="28"/>
          <w:szCs w:val="28"/>
        </w:rPr>
        <w:t>4. Epidemiological Monitoring</w:t>
      </w:r>
    </w:p>
    <w:p w14:paraId="519CF9B2" w14:textId="77777777" w:rsidR="00491E49" w:rsidRPr="00491E49" w:rsidRDefault="00491E49" w:rsidP="00491E49">
      <w:pPr>
        <w:rPr>
          <w:rFonts w:ascii="Candara" w:hAnsi="Candara"/>
          <w:b/>
          <w:bCs/>
        </w:rPr>
      </w:pPr>
      <w:r w:rsidRPr="00491E49">
        <w:rPr>
          <w:rFonts w:ascii="Candara" w:hAnsi="Candara"/>
          <w:b/>
          <w:bCs/>
        </w:rPr>
        <w:t>4.1 Impact assessment surveys</w:t>
      </w:r>
    </w:p>
    <w:p w14:paraId="0E2403AC" w14:textId="77777777" w:rsidR="00491E49" w:rsidRPr="00491E49" w:rsidRDefault="00491E49" w:rsidP="00491E49">
      <w:pPr>
        <w:rPr>
          <w:rFonts w:ascii="Candara" w:hAnsi="Candara"/>
        </w:rPr>
      </w:pPr>
      <w:r w:rsidRPr="00491E49">
        <w:rPr>
          <w:rFonts w:ascii="Candara" w:hAnsi="Candara"/>
        </w:rPr>
        <w:lastRenderedPageBreak/>
        <w:t>Following at least five years of sustained preventive chemotherapy with effective coverage, the Ministry of Health conducted the first national impact assessment survey (IA1) to evaluate programme impact.</w:t>
      </w:r>
    </w:p>
    <w:p w14:paraId="16ADA771" w14:textId="77777777" w:rsidR="00491E49" w:rsidRPr="00491E49" w:rsidRDefault="00491E49" w:rsidP="00491E49">
      <w:pPr>
        <w:rPr>
          <w:rFonts w:ascii="Candara" w:hAnsi="Candara"/>
        </w:rPr>
      </w:pPr>
      <w:r w:rsidRPr="00491E49">
        <w:rPr>
          <w:rFonts w:ascii="Candara" w:hAnsi="Candara"/>
        </w:rPr>
        <w:t>The survey was conducted in [year] using a nationally representative sampling framework targeting children aged 10–14 years. Stool samples were examined using the Kato–Katz technique to determine prevalence and intensity of infection.</w:t>
      </w:r>
    </w:p>
    <w:p w14:paraId="1EFD583E" w14:textId="77777777" w:rsidR="00491E49" w:rsidRPr="00491E49" w:rsidRDefault="00491E49" w:rsidP="00491E49">
      <w:pPr>
        <w:rPr>
          <w:rFonts w:ascii="Candara" w:hAnsi="Candara"/>
        </w:rPr>
      </w:pPr>
      <w:r w:rsidRPr="00491E49">
        <w:rPr>
          <w:rFonts w:ascii="Candara" w:hAnsi="Candara"/>
        </w:rPr>
        <w:t>The results demonstrated that the prevalence of moderate and heavy intensity infections had declined below the threshold required for elimination as a public health problem in all implementation units.</w:t>
      </w:r>
    </w:p>
    <w:p w14:paraId="41013D3C" w14:textId="77777777" w:rsidR="00491E49" w:rsidRPr="00491E49" w:rsidRDefault="00491E49" w:rsidP="00491E49">
      <w:pPr>
        <w:rPr>
          <w:rFonts w:ascii="Candara" w:hAnsi="Candara"/>
          <w:b/>
          <w:bCs/>
        </w:rPr>
      </w:pPr>
      <w:r w:rsidRPr="00491E49">
        <w:rPr>
          <w:rFonts w:ascii="Candara" w:hAnsi="Candara"/>
          <w:b/>
          <w:bCs/>
        </w:rPr>
        <w:t>4.2 Pre-validation surveillance and second impact assessment</w:t>
      </w:r>
    </w:p>
    <w:p w14:paraId="6797043B" w14:textId="77777777" w:rsidR="00491E49" w:rsidRPr="00491E49" w:rsidRDefault="00491E49" w:rsidP="00491E49">
      <w:pPr>
        <w:rPr>
          <w:rFonts w:ascii="Candara" w:hAnsi="Candara"/>
        </w:rPr>
      </w:pPr>
      <w:r w:rsidRPr="00491E49">
        <w:rPr>
          <w:rFonts w:ascii="Candara" w:hAnsi="Candara"/>
        </w:rPr>
        <w:t>Following the IA1 survey, the country entered a three-year pre-validation surveillance period during which preventive chemotherapy frequency was adapted according to epidemiological conditions.</w:t>
      </w:r>
    </w:p>
    <w:p w14:paraId="278A38AE" w14:textId="77777777" w:rsidR="00491E49" w:rsidRPr="00491E49" w:rsidRDefault="00491E49" w:rsidP="00491E49">
      <w:pPr>
        <w:rPr>
          <w:rFonts w:ascii="Candara" w:hAnsi="Candara"/>
        </w:rPr>
      </w:pPr>
      <w:r w:rsidRPr="00491E49">
        <w:rPr>
          <w:rFonts w:ascii="Candara" w:hAnsi="Candara"/>
        </w:rPr>
        <w:t>At the end of this surveillance period, a second national impact assessment (IA2) was conducted in [year]. The survey confirmed that the prevalence of moderate and heavy intensity STH infections remained below the WHO threshold of 2% among children aged 10–14 years in all implementation units.</w:t>
      </w:r>
    </w:p>
    <w:p w14:paraId="7CAD3E9A" w14:textId="77777777" w:rsidR="00491E49" w:rsidRPr="00491E49" w:rsidRDefault="00491E49" w:rsidP="00491E49">
      <w:pPr>
        <w:rPr>
          <w:rFonts w:ascii="Candara" w:hAnsi="Candara"/>
        </w:rPr>
      </w:pPr>
      <w:r w:rsidRPr="00491E49">
        <w:rPr>
          <w:rFonts w:ascii="Candara" w:hAnsi="Candara"/>
        </w:rPr>
        <w:t xml:space="preserve">These results provide epidemiological evidence that soil-transmitted helminthiases have been eliminated as a public health problem in children in [Country]. </w:t>
      </w:r>
    </w:p>
    <w:p w14:paraId="0D95CB6B" w14:textId="77777777" w:rsidR="00491E49" w:rsidRPr="00491E49" w:rsidRDefault="00491E49" w:rsidP="00491E49">
      <w:pPr>
        <w:rPr>
          <w:rFonts w:ascii="Candara" w:hAnsi="Candara"/>
          <w:b/>
          <w:bCs/>
          <w:sz w:val="28"/>
          <w:szCs w:val="28"/>
        </w:rPr>
      </w:pPr>
      <w:r w:rsidRPr="00491E49">
        <w:rPr>
          <w:rFonts w:ascii="Candara" w:hAnsi="Candara"/>
          <w:b/>
          <w:bCs/>
          <w:sz w:val="28"/>
          <w:szCs w:val="28"/>
        </w:rPr>
        <w:t>5. Post-Validation Surveillance</w:t>
      </w:r>
    </w:p>
    <w:p w14:paraId="46A98F94" w14:textId="77777777" w:rsidR="00491E49" w:rsidRPr="00491E49" w:rsidRDefault="00491E49" w:rsidP="00491E49">
      <w:pPr>
        <w:rPr>
          <w:rFonts w:ascii="Candara" w:hAnsi="Candara"/>
          <w:b/>
          <w:bCs/>
        </w:rPr>
      </w:pPr>
      <w:r w:rsidRPr="00491E49">
        <w:rPr>
          <w:rFonts w:ascii="Candara" w:hAnsi="Candara"/>
          <w:b/>
          <w:bCs/>
        </w:rPr>
        <w:t>5.1 Preventive chemotherapy after validation</w:t>
      </w:r>
    </w:p>
    <w:p w14:paraId="71F5F415" w14:textId="77777777" w:rsidR="00491E49" w:rsidRPr="00491E49" w:rsidRDefault="00491E49" w:rsidP="00491E49">
      <w:pPr>
        <w:rPr>
          <w:rFonts w:ascii="Candara" w:hAnsi="Candara"/>
        </w:rPr>
      </w:pPr>
      <w:r w:rsidRPr="00491E49">
        <w:rPr>
          <w:rFonts w:ascii="Candara" w:hAnsi="Candara"/>
        </w:rPr>
        <w:t>Following validation, the Ministry of Health will maintain targeted preventive chemotherapy interventions in areas where surveillance indicates ongoing risk of transmission.</w:t>
      </w:r>
    </w:p>
    <w:p w14:paraId="03A1C93C" w14:textId="77777777" w:rsidR="00491E49" w:rsidRPr="00491E49" w:rsidRDefault="00491E49" w:rsidP="00491E49">
      <w:pPr>
        <w:rPr>
          <w:rFonts w:ascii="Candara" w:hAnsi="Candara"/>
        </w:rPr>
      </w:pPr>
      <w:r w:rsidRPr="00491E49">
        <w:rPr>
          <w:rFonts w:ascii="Candara" w:hAnsi="Candara"/>
        </w:rPr>
        <w:t>Deworming interventions will continue to be implemented through routine health services and school health programmes, with treatment frequency adapted according to surveillance data.</w:t>
      </w:r>
    </w:p>
    <w:p w14:paraId="6E98D6DB" w14:textId="77777777" w:rsidR="00491E49" w:rsidRPr="00491E49" w:rsidRDefault="00491E49" w:rsidP="00491E49">
      <w:pPr>
        <w:rPr>
          <w:rFonts w:ascii="Candara" w:hAnsi="Candara"/>
          <w:b/>
          <w:bCs/>
        </w:rPr>
      </w:pPr>
      <w:r w:rsidRPr="00491E49">
        <w:rPr>
          <w:rFonts w:ascii="Candara" w:hAnsi="Candara"/>
          <w:b/>
          <w:bCs/>
        </w:rPr>
        <w:t>5.2 Ongoing surveillance</w:t>
      </w:r>
    </w:p>
    <w:p w14:paraId="78777D2D" w14:textId="77777777" w:rsidR="00491E49" w:rsidRPr="00491E49" w:rsidRDefault="00491E49" w:rsidP="00491E49">
      <w:pPr>
        <w:rPr>
          <w:rFonts w:ascii="Candara" w:hAnsi="Candara"/>
        </w:rPr>
      </w:pPr>
      <w:r w:rsidRPr="00491E49">
        <w:rPr>
          <w:rFonts w:ascii="Candara" w:hAnsi="Candara"/>
        </w:rPr>
        <w:lastRenderedPageBreak/>
        <w:t>The national programme will maintain surveillance activities through sentinel site monitoring and periodic surveys integrated with other NTD or school health surveys.</w:t>
      </w:r>
    </w:p>
    <w:p w14:paraId="1B0A1DA9" w14:textId="77777777" w:rsidR="00491E49" w:rsidRDefault="00491E49" w:rsidP="00491E49">
      <w:pPr>
        <w:rPr>
          <w:rFonts w:ascii="Candara" w:hAnsi="Candara"/>
        </w:rPr>
      </w:pPr>
      <w:r w:rsidRPr="00491E49">
        <w:rPr>
          <w:rFonts w:ascii="Candara" w:hAnsi="Candara"/>
        </w:rPr>
        <w:t>Surveillance activities will focus on detecting any resurgence of moderate or heavy intensity infections and ensuring that programme gains are sustained.</w:t>
      </w:r>
    </w:p>
    <w:p w14:paraId="2744C306" w14:textId="1453D2BC" w:rsidR="000B3F75" w:rsidRPr="000B3F75" w:rsidRDefault="000B3F75" w:rsidP="000B3F75">
      <w:pPr>
        <w:rPr>
          <w:rFonts w:ascii="Candara" w:hAnsi="Candara"/>
        </w:rPr>
      </w:pPr>
      <w:r w:rsidRPr="000B3F75">
        <w:rPr>
          <w:rFonts w:ascii="Candara" w:hAnsi="Candara"/>
        </w:rPr>
        <w:t>Su</w:t>
      </w:r>
      <w:r>
        <w:rPr>
          <w:rFonts w:ascii="Candara" w:hAnsi="Candara"/>
        </w:rPr>
        <w:t>rveillance</w:t>
      </w:r>
      <w:r w:rsidRPr="000B3F75">
        <w:rPr>
          <w:rFonts w:ascii="Candara" w:hAnsi="Candara"/>
        </w:rPr>
        <w:t xml:space="preserve"> plan (Annex X</w:t>
      </w:r>
      <w:r w:rsidR="008442FD">
        <w:rPr>
          <w:rFonts w:ascii="Candara" w:hAnsi="Candara"/>
        </w:rPr>
        <w:t>X</w:t>
      </w:r>
      <w:r w:rsidRPr="000B3F75">
        <w:rPr>
          <w:rFonts w:ascii="Candara" w:hAnsi="Candara"/>
        </w:rPr>
        <w:t>)</w:t>
      </w:r>
    </w:p>
    <w:p w14:paraId="76E7F9E2" w14:textId="77777777" w:rsidR="00491E49" w:rsidRPr="00491E49" w:rsidRDefault="00491E49" w:rsidP="00491E49">
      <w:pPr>
        <w:rPr>
          <w:rFonts w:ascii="Candara" w:hAnsi="Candara"/>
          <w:b/>
          <w:bCs/>
        </w:rPr>
      </w:pPr>
      <w:r w:rsidRPr="00491E49">
        <w:rPr>
          <w:rFonts w:ascii="Candara" w:hAnsi="Candara"/>
          <w:b/>
          <w:bCs/>
        </w:rPr>
        <w:t>5.3 Programme sustainability</w:t>
      </w:r>
    </w:p>
    <w:p w14:paraId="3C6A38A1" w14:textId="77777777" w:rsidR="00491E49" w:rsidRPr="00491E49" w:rsidRDefault="00491E49" w:rsidP="00491E49">
      <w:pPr>
        <w:rPr>
          <w:rFonts w:ascii="Candara" w:hAnsi="Candara"/>
        </w:rPr>
      </w:pPr>
      <w:r w:rsidRPr="00491E49">
        <w:rPr>
          <w:rFonts w:ascii="Candara" w:hAnsi="Candara"/>
        </w:rPr>
        <w:t>The sustainability of the STH control programme is supported through integration within the national health system and continued collaboration with partners in the WASH and education sectors.</w:t>
      </w:r>
    </w:p>
    <w:p w14:paraId="5806C62F" w14:textId="77777777" w:rsidR="000B3F75" w:rsidRDefault="00491E49" w:rsidP="00491E49">
      <w:pPr>
        <w:rPr>
          <w:rFonts w:ascii="Candara" w:hAnsi="Candara"/>
        </w:rPr>
      </w:pPr>
      <w:r w:rsidRPr="00491E49">
        <w:rPr>
          <w:rFonts w:ascii="Candara" w:hAnsi="Candara"/>
        </w:rPr>
        <w:t>The Ministry of Health remains committed to maintaining surveillance, ensuring access to treatment, and sustaining environmental improvements necessary to prevent recrudescence of infection.</w:t>
      </w:r>
      <w:r w:rsidR="000B3F75">
        <w:rPr>
          <w:rFonts w:ascii="Candara" w:hAnsi="Candara"/>
        </w:rPr>
        <w:t xml:space="preserve"> </w:t>
      </w:r>
    </w:p>
    <w:p w14:paraId="520B571F" w14:textId="6EC8304A" w:rsidR="00491E49" w:rsidRPr="00491E49" w:rsidRDefault="000B3F75" w:rsidP="00491E49">
      <w:pPr>
        <w:rPr>
          <w:rFonts w:ascii="Candara" w:hAnsi="Candara"/>
        </w:rPr>
      </w:pPr>
      <w:r>
        <w:rPr>
          <w:rFonts w:ascii="Candara" w:hAnsi="Candara"/>
        </w:rPr>
        <w:t xml:space="preserve">Sustainability plan (Annex </w:t>
      </w:r>
      <w:r w:rsidR="008442FD">
        <w:rPr>
          <w:rFonts w:ascii="Candara" w:hAnsi="Candara"/>
        </w:rPr>
        <w:t>X</w:t>
      </w:r>
      <w:r>
        <w:rPr>
          <w:rFonts w:ascii="Candara" w:hAnsi="Candara"/>
        </w:rPr>
        <w:t>XX)</w:t>
      </w:r>
    </w:p>
    <w:p w14:paraId="3EC6ADD4" w14:textId="77777777" w:rsidR="00491E49" w:rsidRPr="00491E49" w:rsidRDefault="00491E49" w:rsidP="00491E49">
      <w:pPr>
        <w:rPr>
          <w:rFonts w:ascii="Candara" w:hAnsi="Candara"/>
          <w:b/>
          <w:bCs/>
          <w:sz w:val="28"/>
          <w:szCs w:val="28"/>
        </w:rPr>
      </w:pPr>
      <w:r w:rsidRPr="00491E49">
        <w:rPr>
          <w:rFonts w:ascii="Candara" w:hAnsi="Candara"/>
          <w:b/>
          <w:bCs/>
          <w:sz w:val="28"/>
          <w:szCs w:val="28"/>
        </w:rPr>
        <w:t>6. Special Issues</w:t>
      </w:r>
    </w:p>
    <w:p w14:paraId="67078437" w14:textId="77777777" w:rsidR="00491E49" w:rsidRPr="00491E49" w:rsidRDefault="00491E49" w:rsidP="00491E49">
      <w:pPr>
        <w:rPr>
          <w:rFonts w:ascii="Candara" w:hAnsi="Candara"/>
        </w:rPr>
      </w:pPr>
      <w:r w:rsidRPr="00491E49">
        <w:rPr>
          <w:rFonts w:ascii="Candara" w:hAnsi="Candara"/>
        </w:rPr>
        <w:t>[Optional section for security challenges, difficult-to-reach populations, migration, etc.]</w:t>
      </w:r>
    </w:p>
    <w:p w14:paraId="04F596C9" w14:textId="77777777" w:rsidR="00491E49" w:rsidRPr="00491E49" w:rsidRDefault="00491E49" w:rsidP="00491E49">
      <w:pPr>
        <w:rPr>
          <w:rFonts w:ascii="Candara" w:hAnsi="Candara"/>
          <w:b/>
          <w:bCs/>
        </w:rPr>
      </w:pPr>
      <w:r w:rsidRPr="00491E49">
        <w:rPr>
          <w:rFonts w:ascii="Candara" w:hAnsi="Candara"/>
          <w:b/>
          <w:bCs/>
        </w:rPr>
        <w:t>7. Resources and Partnerships</w:t>
      </w:r>
    </w:p>
    <w:p w14:paraId="5CA65C55" w14:textId="77777777" w:rsidR="00491E49" w:rsidRPr="00491E49" w:rsidRDefault="00491E49" w:rsidP="00491E49">
      <w:pPr>
        <w:rPr>
          <w:rFonts w:ascii="Candara" w:hAnsi="Candara"/>
        </w:rPr>
      </w:pPr>
      <w:r w:rsidRPr="00491E49">
        <w:rPr>
          <w:rFonts w:ascii="Candara" w:hAnsi="Candara"/>
        </w:rPr>
        <w:t>[Describe programme funding, partnerships and contributions.]</w:t>
      </w:r>
    </w:p>
    <w:p w14:paraId="770DDE4F" w14:textId="77777777" w:rsidR="00491E49" w:rsidRPr="00491E49" w:rsidRDefault="00491E49" w:rsidP="00491E49">
      <w:pPr>
        <w:rPr>
          <w:rFonts w:ascii="Candara" w:hAnsi="Candara"/>
          <w:b/>
          <w:bCs/>
        </w:rPr>
      </w:pPr>
      <w:r w:rsidRPr="00491E49">
        <w:rPr>
          <w:rFonts w:ascii="Candara" w:hAnsi="Candara"/>
          <w:b/>
          <w:bCs/>
        </w:rPr>
        <w:t>8. Bibliography</w:t>
      </w:r>
    </w:p>
    <w:p w14:paraId="6A168631" w14:textId="77777777" w:rsidR="00491E49" w:rsidRPr="00491E49" w:rsidRDefault="00491E49" w:rsidP="00491E49">
      <w:pPr>
        <w:rPr>
          <w:rFonts w:ascii="Candara" w:hAnsi="Candara"/>
        </w:rPr>
      </w:pPr>
      <w:r w:rsidRPr="00491E49">
        <w:rPr>
          <w:rFonts w:ascii="Candara" w:hAnsi="Candara"/>
        </w:rPr>
        <w:t>[List sources used to prepare the dossier.]</w:t>
      </w:r>
    </w:p>
    <w:p w14:paraId="592A538E" w14:textId="7A47E188" w:rsidR="00491E49" w:rsidRPr="00431CF3" w:rsidRDefault="00491E49" w:rsidP="00491E49">
      <w:pPr>
        <w:rPr>
          <w:rFonts w:ascii="Candara" w:hAnsi="Candara"/>
          <w:b/>
          <w:bCs/>
        </w:rPr>
      </w:pPr>
      <w:r w:rsidRPr="00491E49">
        <w:rPr>
          <w:rFonts w:ascii="Candara" w:hAnsi="Candara"/>
          <w:b/>
          <w:bCs/>
        </w:rPr>
        <w:t xml:space="preserve">9. </w:t>
      </w:r>
      <w:r w:rsidR="00842C6D">
        <w:rPr>
          <w:rFonts w:ascii="Candara" w:hAnsi="Candara"/>
          <w:b/>
          <w:bCs/>
        </w:rPr>
        <w:t>Annexes</w:t>
      </w:r>
    </w:p>
    <w:p w14:paraId="74A53C6F" w14:textId="7521EEF4" w:rsidR="00431CF3" w:rsidRPr="00491E49" w:rsidRDefault="000A7891" w:rsidP="00491E49">
      <w:pPr>
        <w:rPr>
          <w:rFonts w:ascii="Candara" w:hAnsi="Candara"/>
        </w:rPr>
      </w:pPr>
      <w:r>
        <w:rPr>
          <w:rFonts w:ascii="Candara" w:hAnsi="Candara"/>
        </w:rPr>
        <w:t>[</w:t>
      </w:r>
      <w:r w:rsidR="00431CF3" w:rsidRPr="00431CF3">
        <w:rPr>
          <w:rFonts w:ascii="Candara" w:hAnsi="Candara"/>
        </w:rPr>
        <w:t>List….</w:t>
      </w:r>
      <w:r>
        <w:rPr>
          <w:rFonts w:ascii="Candara" w:hAnsi="Candara"/>
        </w:rPr>
        <w:t>]</w:t>
      </w:r>
    </w:p>
    <w:p w14:paraId="71882DB7" w14:textId="6E04C36A" w:rsidR="000B3F75" w:rsidRPr="000B3F75" w:rsidRDefault="00206ECB" w:rsidP="000B3F75">
      <w:pPr>
        <w:rPr>
          <w:b/>
          <w:bCs/>
        </w:rPr>
      </w:pPr>
      <w:r>
        <w:rPr>
          <w:b/>
          <w:bCs/>
        </w:rPr>
        <w:t>10</w:t>
      </w:r>
      <w:r w:rsidR="000B3F75" w:rsidRPr="000B3F75">
        <w:rPr>
          <w:b/>
          <w:bCs/>
        </w:rPr>
        <w:t xml:space="preserve">. </w:t>
      </w:r>
      <w:r>
        <w:rPr>
          <w:b/>
          <w:bCs/>
        </w:rPr>
        <w:t>Abbreviations</w:t>
      </w:r>
    </w:p>
    <w:p w14:paraId="104EAEFC" w14:textId="6DF0FDE6" w:rsidR="000B3F75" w:rsidRPr="000B3F75" w:rsidRDefault="000A7891" w:rsidP="000B3F75">
      <w:r>
        <w:t>[</w:t>
      </w:r>
      <w:r w:rsidR="000B3F75" w:rsidRPr="000B3F75">
        <w:t>List….</w:t>
      </w:r>
      <w:r>
        <w:t>]</w:t>
      </w:r>
    </w:p>
    <w:p w14:paraId="33C1D1DB" w14:textId="77777777" w:rsidR="00CE38D7" w:rsidRPr="001F15FD" w:rsidRDefault="00CE38D7" w:rsidP="00491E49"/>
    <w:sectPr w:rsidR="00CE38D7" w:rsidRPr="001F15F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62C5F" w14:textId="77777777" w:rsidR="00EC75A9" w:rsidRDefault="00EC75A9" w:rsidP="009B45E1">
      <w:pPr>
        <w:spacing w:after="0" w:line="240" w:lineRule="auto"/>
      </w:pPr>
      <w:r>
        <w:separator/>
      </w:r>
    </w:p>
  </w:endnote>
  <w:endnote w:type="continuationSeparator" w:id="0">
    <w:p w14:paraId="1CBDFD9E" w14:textId="77777777" w:rsidR="00EC75A9" w:rsidRDefault="00EC75A9" w:rsidP="009B4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247864"/>
      <w:docPartObj>
        <w:docPartGallery w:val="Page Numbers (Bottom of Page)"/>
        <w:docPartUnique/>
      </w:docPartObj>
    </w:sdtPr>
    <w:sdtEndPr>
      <w:rPr>
        <w:noProof/>
      </w:rPr>
    </w:sdtEndPr>
    <w:sdtContent>
      <w:p w14:paraId="5C0319BC" w14:textId="09D1CAA0" w:rsidR="00A27AD9" w:rsidRDefault="00A27AD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CE4250" w14:textId="77777777" w:rsidR="00A27AD9" w:rsidRDefault="00A27A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EAF17" w14:textId="77777777" w:rsidR="00EC75A9" w:rsidRDefault="00EC75A9" w:rsidP="009B45E1">
      <w:pPr>
        <w:spacing w:after="0" w:line="240" w:lineRule="auto"/>
      </w:pPr>
      <w:r>
        <w:separator/>
      </w:r>
    </w:p>
  </w:footnote>
  <w:footnote w:type="continuationSeparator" w:id="0">
    <w:p w14:paraId="051AF89A" w14:textId="77777777" w:rsidR="00EC75A9" w:rsidRDefault="00EC75A9" w:rsidP="009B45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4549F" w14:textId="11EED037" w:rsidR="009B45E1" w:rsidRPr="009B45E1" w:rsidRDefault="009B45E1" w:rsidP="009B45E1">
    <w:pPr>
      <w:pStyle w:val="Header"/>
    </w:pPr>
    <w:r>
      <w:rPr>
        <w:noProof/>
      </w:rPr>
      <w:drawing>
        <wp:inline distT="0" distB="0" distL="0" distR="0" wp14:anchorId="605597D8" wp14:editId="3094C0DF">
          <wp:extent cx="2057400" cy="724730"/>
          <wp:effectExtent l="0" t="0" r="0" b="0"/>
          <wp:docPr id="9938591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4942" cy="727387"/>
                  </a:xfrm>
                  <a:prstGeom prst="rect">
                    <a:avLst/>
                  </a:prstGeom>
                  <a:noFill/>
                </pic:spPr>
              </pic:pic>
            </a:graphicData>
          </a:graphic>
        </wp:inline>
      </w:drawing>
    </w:r>
    <w:r>
      <w:t xml:space="preserve">                                        </w:t>
    </w:r>
    <w:r w:rsidRPr="009B45E1">
      <w:rPr>
        <w:noProof/>
      </w:rPr>
      <w:drawing>
        <wp:inline distT="0" distB="0" distL="0" distR="0" wp14:anchorId="36EE659E" wp14:editId="33B41ECB">
          <wp:extent cx="1744704" cy="805961"/>
          <wp:effectExtent l="0" t="0" r="8255" b="0"/>
          <wp:docPr id="14062389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1837" cy="818495"/>
                  </a:xfrm>
                  <a:prstGeom prst="rect">
                    <a:avLst/>
                  </a:prstGeom>
                  <a:noFill/>
                  <a:ln>
                    <a:noFill/>
                  </a:ln>
                </pic:spPr>
              </pic:pic>
            </a:graphicData>
          </a:graphic>
        </wp:inline>
      </w:drawing>
    </w:r>
  </w:p>
  <w:p w14:paraId="3BC8A3A1" w14:textId="1E5F10C9" w:rsidR="009B45E1" w:rsidRPr="009B45E1" w:rsidRDefault="009B45E1" w:rsidP="009B45E1">
    <w:pPr>
      <w:pStyle w:val="Header"/>
    </w:pPr>
  </w:p>
  <w:p w14:paraId="28B8A96C" w14:textId="035AE25E" w:rsidR="009B45E1" w:rsidRDefault="009B45E1">
    <w:pPr>
      <w:pStyle w:val="Header"/>
    </w:pPr>
  </w:p>
  <w:p w14:paraId="25B6B0E1" w14:textId="1BEB7B85" w:rsidR="009B45E1" w:rsidRDefault="009B45E1">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B4DC8"/>
    <w:multiLevelType w:val="multilevel"/>
    <w:tmpl w:val="90E04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447B5C"/>
    <w:multiLevelType w:val="multilevel"/>
    <w:tmpl w:val="B0A8B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7734AD"/>
    <w:multiLevelType w:val="multilevel"/>
    <w:tmpl w:val="0742B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285033"/>
    <w:multiLevelType w:val="multilevel"/>
    <w:tmpl w:val="17FE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1B6868"/>
    <w:multiLevelType w:val="multilevel"/>
    <w:tmpl w:val="64688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AC6C2B"/>
    <w:multiLevelType w:val="multilevel"/>
    <w:tmpl w:val="DFAC7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290C3E"/>
    <w:multiLevelType w:val="multilevel"/>
    <w:tmpl w:val="B79A2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1E7EB9"/>
    <w:multiLevelType w:val="multilevel"/>
    <w:tmpl w:val="8E6EA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FC621C"/>
    <w:multiLevelType w:val="multilevel"/>
    <w:tmpl w:val="15AEF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7B0D79"/>
    <w:multiLevelType w:val="multilevel"/>
    <w:tmpl w:val="018EE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CC0646"/>
    <w:multiLevelType w:val="multilevel"/>
    <w:tmpl w:val="A51EF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A37E25"/>
    <w:multiLevelType w:val="multilevel"/>
    <w:tmpl w:val="4BFEE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A9687B"/>
    <w:multiLevelType w:val="multilevel"/>
    <w:tmpl w:val="E786A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DD5F29"/>
    <w:multiLevelType w:val="multilevel"/>
    <w:tmpl w:val="D2A45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1A0166"/>
    <w:multiLevelType w:val="multilevel"/>
    <w:tmpl w:val="B5588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441CD3"/>
    <w:multiLevelType w:val="multilevel"/>
    <w:tmpl w:val="18D88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0E37C7"/>
    <w:multiLevelType w:val="multilevel"/>
    <w:tmpl w:val="0F94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AA51BA"/>
    <w:multiLevelType w:val="multilevel"/>
    <w:tmpl w:val="15CE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15311E"/>
    <w:multiLevelType w:val="multilevel"/>
    <w:tmpl w:val="EC1C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BF75E3"/>
    <w:multiLevelType w:val="multilevel"/>
    <w:tmpl w:val="AECC5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1291811">
    <w:abstractNumId w:val="4"/>
  </w:num>
  <w:num w:numId="2" w16cid:durableId="143740068">
    <w:abstractNumId w:val="8"/>
  </w:num>
  <w:num w:numId="3" w16cid:durableId="1560825676">
    <w:abstractNumId w:val="17"/>
  </w:num>
  <w:num w:numId="4" w16cid:durableId="1485853777">
    <w:abstractNumId w:val="16"/>
  </w:num>
  <w:num w:numId="5" w16cid:durableId="146170157">
    <w:abstractNumId w:val="19"/>
  </w:num>
  <w:num w:numId="6" w16cid:durableId="1200122261">
    <w:abstractNumId w:val="14"/>
  </w:num>
  <w:num w:numId="7" w16cid:durableId="2134443138">
    <w:abstractNumId w:val="7"/>
  </w:num>
  <w:num w:numId="8" w16cid:durableId="1304772463">
    <w:abstractNumId w:val="3"/>
  </w:num>
  <w:num w:numId="9" w16cid:durableId="63577120">
    <w:abstractNumId w:val="10"/>
  </w:num>
  <w:num w:numId="10" w16cid:durableId="819082092">
    <w:abstractNumId w:val="6"/>
  </w:num>
  <w:num w:numId="11" w16cid:durableId="969287168">
    <w:abstractNumId w:val="18"/>
  </w:num>
  <w:num w:numId="12" w16cid:durableId="1569413800">
    <w:abstractNumId w:val="0"/>
  </w:num>
  <w:num w:numId="13" w16cid:durableId="452022989">
    <w:abstractNumId w:val="1"/>
  </w:num>
  <w:num w:numId="14" w16cid:durableId="91828719">
    <w:abstractNumId w:val="9"/>
  </w:num>
  <w:num w:numId="15" w16cid:durableId="2031687873">
    <w:abstractNumId w:val="13"/>
  </w:num>
  <w:num w:numId="16" w16cid:durableId="964777578">
    <w:abstractNumId w:val="15"/>
  </w:num>
  <w:num w:numId="17" w16cid:durableId="1537081369">
    <w:abstractNumId w:val="11"/>
  </w:num>
  <w:num w:numId="18" w16cid:durableId="2067752495">
    <w:abstractNumId w:val="2"/>
  </w:num>
  <w:num w:numId="19" w16cid:durableId="716515190">
    <w:abstractNumId w:val="12"/>
  </w:num>
  <w:num w:numId="20" w16cid:durableId="6497947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8D7"/>
    <w:rsid w:val="000324C4"/>
    <w:rsid w:val="00066EE4"/>
    <w:rsid w:val="000671E4"/>
    <w:rsid w:val="000A7891"/>
    <w:rsid w:val="000B3F75"/>
    <w:rsid w:val="00174584"/>
    <w:rsid w:val="001E2343"/>
    <w:rsid w:val="001F15FD"/>
    <w:rsid w:val="002069D0"/>
    <w:rsid w:val="00206ECB"/>
    <w:rsid w:val="002E1EB8"/>
    <w:rsid w:val="002F1A8B"/>
    <w:rsid w:val="00300AC1"/>
    <w:rsid w:val="004120B1"/>
    <w:rsid w:val="00431CF3"/>
    <w:rsid w:val="00491E49"/>
    <w:rsid w:val="004B27EF"/>
    <w:rsid w:val="00532400"/>
    <w:rsid w:val="00632063"/>
    <w:rsid w:val="007242A9"/>
    <w:rsid w:val="00842C6D"/>
    <w:rsid w:val="008442FD"/>
    <w:rsid w:val="008D7D03"/>
    <w:rsid w:val="009B45E1"/>
    <w:rsid w:val="00A27AD9"/>
    <w:rsid w:val="00A32F2A"/>
    <w:rsid w:val="00B755EA"/>
    <w:rsid w:val="00C65E47"/>
    <w:rsid w:val="00CA5487"/>
    <w:rsid w:val="00CB3B8B"/>
    <w:rsid w:val="00CE38D7"/>
    <w:rsid w:val="00E24E42"/>
    <w:rsid w:val="00E33F8E"/>
    <w:rsid w:val="00E82E61"/>
    <w:rsid w:val="00EC75A9"/>
    <w:rsid w:val="00FF1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A1BEF"/>
  <w15:chartTrackingRefBased/>
  <w15:docId w15:val="{8905F518-4530-42AB-AD41-CDC613BD9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38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38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38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38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38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38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38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38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38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8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38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38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38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38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38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38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38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38D7"/>
    <w:rPr>
      <w:rFonts w:eastAsiaTheme="majorEastAsia" w:cstheme="majorBidi"/>
      <w:color w:val="272727" w:themeColor="text1" w:themeTint="D8"/>
    </w:rPr>
  </w:style>
  <w:style w:type="paragraph" w:styleId="Title">
    <w:name w:val="Title"/>
    <w:basedOn w:val="Normal"/>
    <w:next w:val="Normal"/>
    <w:link w:val="TitleChar"/>
    <w:uiPriority w:val="10"/>
    <w:qFormat/>
    <w:rsid w:val="00CE38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8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38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38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38D7"/>
    <w:pPr>
      <w:spacing w:before="160"/>
      <w:jc w:val="center"/>
    </w:pPr>
    <w:rPr>
      <w:i/>
      <w:iCs/>
      <w:color w:val="404040" w:themeColor="text1" w:themeTint="BF"/>
    </w:rPr>
  </w:style>
  <w:style w:type="character" w:customStyle="1" w:styleId="QuoteChar">
    <w:name w:val="Quote Char"/>
    <w:basedOn w:val="DefaultParagraphFont"/>
    <w:link w:val="Quote"/>
    <w:uiPriority w:val="29"/>
    <w:rsid w:val="00CE38D7"/>
    <w:rPr>
      <w:i/>
      <w:iCs/>
      <w:color w:val="404040" w:themeColor="text1" w:themeTint="BF"/>
    </w:rPr>
  </w:style>
  <w:style w:type="paragraph" w:styleId="ListParagraph">
    <w:name w:val="List Paragraph"/>
    <w:basedOn w:val="Normal"/>
    <w:uiPriority w:val="34"/>
    <w:qFormat/>
    <w:rsid w:val="00CE38D7"/>
    <w:pPr>
      <w:ind w:left="720"/>
      <w:contextualSpacing/>
    </w:pPr>
  </w:style>
  <w:style w:type="character" w:styleId="IntenseEmphasis">
    <w:name w:val="Intense Emphasis"/>
    <w:basedOn w:val="DefaultParagraphFont"/>
    <w:uiPriority w:val="21"/>
    <w:qFormat/>
    <w:rsid w:val="00CE38D7"/>
    <w:rPr>
      <w:i/>
      <w:iCs/>
      <w:color w:val="0F4761" w:themeColor="accent1" w:themeShade="BF"/>
    </w:rPr>
  </w:style>
  <w:style w:type="paragraph" w:styleId="IntenseQuote">
    <w:name w:val="Intense Quote"/>
    <w:basedOn w:val="Normal"/>
    <w:next w:val="Normal"/>
    <w:link w:val="IntenseQuoteChar"/>
    <w:uiPriority w:val="30"/>
    <w:qFormat/>
    <w:rsid w:val="00CE38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38D7"/>
    <w:rPr>
      <w:i/>
      <w:iCs/>
      <w:color w:val="0F4761" w:themeColor="accent1" w:themeShade="BF"/>
    </w:rPr>
  </w:style>
  <w:style w:type="character" w:styleId="IntenseReference">
    <w:name w:val="Intense Reference"/>
    <w:basedOn w:val="DefaultParagraphFont"/>
    <w:uiPriority w:val="32"/>
    <w:qFormat/>
    <w:rsid w:val="00CE38D7"/>
    <w:rPr>
      <w:b/>
      <w:bCs/>
      <w:smallCaps/>
      <w:color w:val="0F4761" w:themeColor="accent1" w:themeShade="BF"/>
      <w:spacing w:val="5"/>
    </w:rPr>
  </w:style>
  <w:style w:type="paragraph" w:styleId="Header">
    <w:name w:val="header"/>
    <w:basedOn w:val="Normal"/>
    <w:link w:val="HeaderChar"/>
    <w:uiPriority w:val="99"/>
    <w:unhideWhenUsed/>
    <w:rsid w:val="009B45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5E1"/>
  </w:style>
  <w:style w:type="paragraph" w:styleId="Footer">
    <w:name w:val="footer"/>
    <w:basedOn w:val="Normal"/>
    <w:link w:val="FooterChar"/>
    <w:uiPriority w:val="99"/>
    <w:unhideWhenUsed/>
    <w:rsid w:val="009B45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5E1"/>
  </w:style>
  <w:style w:type="paragraph" w:styleId="NormalWeb">
    <w:name w:val="Normal (Web)"/>
    <w:basedOn w:val="Normal"/>
    <w:uiPriority w:val="99"/>
    <w:semiHidden/>
    <w:unhideWhenUsed/>
    <w:rsid w:val="009B45E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1872</Words>
  <Characters>10677</Characters>
  <Application>Microsoft Office Word</Application>
  <DocSecurity>0</DocSecurity>
  <Lines>88</Lines>
  <Paragraphs>25</Paragraphs>
  <ScaleCrop>false</ScaleCrop>
  <Company/>
  <LinksUpToDate>false</LinksUpToDate>
  <CharactersWithSpaces>12524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MWINZI, Pauline Ngina</dc:creator>
  <cp:keywords/>
  <dc:description/>
  <cp:lastModifiedBy>MWINZI, Pauline Ngina</cp:lastModifiedBy>
  <cp:revision>18</cp:revision>
  <dcterms:created xsi:type="dcterms:W3CDTF">2026-03-08T09:10:00Z</dcterms:created>
  <dcterms:modified xsi:type="dcterms:W3CDTF">2026-03-08T10:40:00Z</dcterms:modified>
</cp:coreProperties>
</file>